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ahoma" w:eastAsia="Times New Roman" w:hAnsi="Tahoma" w:cs="Tahoma"/>
          <w:color w:val="000000"/>
          <w:sz w:val="22"/>
          <w:szCs w:val="22"/>
          <w:lang w:val="en-GB" w:eastAsia="fr-BE"/>
        </w:rPr>
        <w:id w:val="11686709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1B86AF1" w14:textId="391966C4" w:rsidR="00F649DE" w:rsidRDefault="00F649DE">
          <w:pPr>
            <w:pStyle w:val="TOCHeading"/>
          </w:pPr>
          <w:r>
            <w:t>Contents</w:t>
          </w:r>
          <w:r w:rsidR="00E446D6">
            <w:t xml:space="preserve"> (in chronological order) </w:t>
          </w:r>
        </w:p>
        <w:p w14:paraId="6FDC20E8" w14:textId="57EB3DAE" w:rsidR="00471218" w:rsidRPr="00471218" w:rsidRDefault="00F649DE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r w:rsidRPr="00471218">
            <w:rPr>
              <w:b/>
              <w:bCs/>
              <w:noProof/>
            </w:rPr>
            <w:fldChar w:fldCharType="begin"/>
          </w:r>
          <w:r w:rsidRPr="00471218">
            <w:rPr>
              <w:b/>
              <w:bCs/>
              <w:noProof/>
            </w:rPr>
            <w:instrText xml:space="preserve"> TOC \o "1-3" \h \z \u </w:instrText>
          </w:r>
          <w:r w:rsidRPr="00471218">
            <w:rPr>
              <w:b/>
              <w:bCs/>
              <w:noProof/>
            </w:rPr>
            <w:fldChar w:fldCharType="separate"/>
          </w:r>
          <w:hyperlink w:anchor="_Toc532390578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Directive 82/475/EEC laying down the categories of feed materials for the labelling of compound feedingstuffs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_Toc532390578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3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6AE7648E" w14:textId="75D7C57F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579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Directive 94/62/EC on packaging and packaging waste.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_Toc532390579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3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4A099A97" w14:textId="024F0CCF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580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Directive 98/51/EC laying down the conditions and arrangements for approving and registering certain establishments and intermediaries operating in the animal feed sector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_Toc532390580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3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6D7C6832" w14:textId="16258F75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581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Directive 2001/18/EC on the deliberate release into the environment of genetically modified organisms and repealing Council Directive 90/220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_Toc532390581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3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58B64218" w14:textId="42E5EF00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582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Directive 2001/82/EC on the Community code relating to veterinary medicinal products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_Toc532390582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3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63127D57" w14:textId="6F1530C4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583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Regulation (EC) No 999/2001 laying down the rules for the prevention, control and eradication of certain transmissible spongiform encephalopathies (TSE Regulation)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_Toc532390583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3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00BF03AA" w14:textId="705CF290" w:rsidR="00471218" w:rsidRPr="00D46D3E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584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Directive 2002/32/EC on undesirable substances in animal feed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_Toc532390584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4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3AFC3FD0" w14:textId="7B0DA526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586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Regulation (EC) No 178/2002</w:t>
            </w:r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  <w:lang w:eastAsia="en-US"/>
              </w:rPr>
              <w:t xml:space="preserve"> laying down the general principles and requirements of food law, establishing the European Food Safety Authority and laying down procedures in matters of food safety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_Toc532390586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4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7A28EB19" w14:textId="7F531D82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587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Regulation (EC) No 1829/2003 on genetically modified food and feed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_Toc532390587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4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0ED00FE7" w14:textId="3D38FFEB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588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Regulation (EC) No 1830/2003 on the traceability and labelling of genetically modified organisms and the traceability of food and feed products produced from genetically modified organisms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_Toc532390588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4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5EFEC118" w14:textId="0185164A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589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Regulation (EC) No 1831/2003 concerning additives in animal nutrition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_Toc532390589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4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6E42AE0D" w14:textId="57B3A061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590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Directive 2004/10/EC on the principles of good laboratory practice and the verification of their applications for tests on chemical substances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_Toc532390590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5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44B730BA" w14:textId="5E0B65DE" w:rsidR="00471218" w:rsidRPr="00D46D3E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591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Regulation (EC) No 852/2004 on the hygiene of foodstuffs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_Toc532390591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5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42D523CA" w14:textId="3A707672" w:rsidR="00471218" w:rsidRDefault="007D0339" w:rsidP="009815DF">
          <w:pPr>
            <w:pStyle w:val="TOC3"/>
            <w:rPr>
              <w:noProof/>
            </w:rPr>
          </w:pPr>
          <w:hyperlink w:anchor="_Toc532390593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Regulation (EC) No 183/2005 laying down requirements for feed hygiene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_Toc532390593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5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077CC876" w14:textId="775CD9B4" w:rsidR="00C623F3" w:rsidRPr="00C623F3" w:rsidRDefault="007D0339" w:rsidP="00C623F3">
          <w:pPr>
            <w:pStyle w:val="TOC3"/>
            <w:rPr>
              <w:rFonts w:eastAsiaTheme="minorEastAsia"/>
            </w:rPr>
          </w:pPr>
          <w:hyperlink w:anchor="_Toc532390592" w:history="1">
            <w:r w:rsidR="00C623F3" w:rsidRPr="00C623F3">
              <w:rPr>
                <w:rStyle w:val="Hyperlink"/>
                <w:rFonts w:ascii="Source Sans Pro Light" w:eastAsiaTheme="majorEastAsia" w:hAnsi="Source Sans Pro Light"/>
                <w:noProof/>
              </w:rPr>
              <w:t>Regulation</w:t>
            </w:r>
            <w:r w:rsidR="00C623F3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 xml:space="preserve"> (EC) No 882/2004 on official controls performed to ensure the verification of compliance with feed and food law, animal health and animal welfare rules</w:t>
            </w:r>
            <w:r w:rsidR="00C623F3" w:rsidRPr="00471218">
              <w:rPr>
                <w:rFonts w:ascii="Source Sans Pro Light" w:hAnsi="Source Sans Pro Light"/>
                <w:noProof/>
                <w:webHidden/>
              </w:rPr>
              <w:tab/>
            </w:r>
            <w:r w:rsidR="00C623F3" w:rsidRPr="00471218">
              <w:rPr>
                <w:rFonts w:ascii="Source Sans Pro Light" w:hAnsi="Source Sans Pro Light"/>
                <w:noProof/>
                <w:webHidden/>
              </w:rPr>
              <w:fldChar w:fldCharType="begin"/>
            </w:r>
            <w:r w:rsidR="00C623F3" w:rsidRPr="00471218">
              <w:rPr>
                <w:rFonts w:ascii="Source Sans Pro Light" w:hAnsi="Source Sans Pro Light"/>
                <w:noProof/>
                <w:webHidden/>
              </w:rPr>
              <w:instrText xml:space="preserve"> PAGEREF _Toc532390592 \h </w:instrText>
            </w:r>
            <w:r w:rsidR="00C623F3" w:rsidRPr="00471218">
              <w:rPr>
                <w:rFonts w:ascii="Source Sans Pro Light" w:hAnsi="Source Sans Pro Light"/>
                <w:noProof/>
                <w:webHidden/>
              </w:rPr>
            </w:r>
            <w:r w:rsidR="00C623F3" w:rsidRPr="00471218">
              <w:rPr>
                <w:rFonts w:ascii="Source Sans Pro Light" w:hAnsi="Source Sans Pro Light"/>
                <w:noProof/>
                <w:webHidden/>
              </w:rPr>
              <w:fldChar w:fldCharType="separate"/>
            </w:r>
            <w:r w:rsidR="00C623F3" w:rsidRPr="00471218">
              <w:rPr>
                <w:rFonts w:ascii="Source Sans Pro Light" w:hAnsi="Source Sans Pro Light"/>
                <w:noProof/>
                <w:webHidden/>
              </w:rPr>
              <w:t>5</w:t>
            </w:r>
            <w:r w:rsidR="00C623F3" w:rsidRPr="00471218">
              <w:rPr>
                <w:rFonts w:ascii="Source Sans Pro Light" w:hAnsi="Source Sans Pro Light"/>
                <w:noProof/>
                <w:webHidden/>
              </w:rPr>
              <w:fldChar w:fldCharType="end"/>
            </w:r>
          </w:hyperlink>
        </w:p>
        <w:p w14:paraId="733BA376" w14:textId="77605228" w:rsidR="00C623F3" w:rsidRPr="00C623F3" w:rsidRDefault="007D0339" w:rsidP="00D9226F">
          <w:pPr>
            <w:pStyle w:val="TOC3"/>
            <w:rPr>
              <w:rFonts w:eastAsiaTheme="minorEastAsia"/>
            </w:rPr>
          </w:pPr>
          <w:hyperlink w:anchor="_Toc532390594" w:history="1">
            <w:r w:rsidR="00471218" w:rsidRPr="00C623F3">
              <w:rPr>
                <w:rStyle w:val="Hyperlink"/>
                <w:rFonts w:ascii="Source Sans Pro Light" w:eastAsiaTheme="majorEastAsia" w:hAnsi="Source Sans Pro Light"/>
                <w:noProof/>
              </w:rPr>
              <w:t>Directive 2006/114/EC concerning misleading and comparative advertising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_Toc532390594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5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42E09372" w14:textId="3AFB52B5" w:rsidR="00471218" w:rsidRPr="009815DF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595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Regulation (EC) No 834/2007 on organic production and labelling of organic products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_Toc532390595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5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3C8543BF" w14:textId="7017D46A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597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Regulation (EC) No 429/2008 on detailed rules for the implementation of Regulation No 1831/2003 as regards the preparation and presentation of the applications and the assessment and the authorization of feed additives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_Toc532390597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6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5F84CD3A" w14:textId="02F8D6A0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598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Directive 2009/34/EC relating to common provisions for both measuring instruments and methods of metrological control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_Toc532390598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6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04C217EB" w14:textId="1FB656C9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599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Regulation (EC) No 152/2009 laying down the methods of sampling and analysis for the official control of feed.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_Toc532390599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6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251C50CA" w14:textId="030BA39B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600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Regulation (EC) No 767/2009 on the marketing and use of feed.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_Toc532390600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6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4A54149F" w14:textId="63E8CFD0" w:rsidR="00471218" w:rsidRDefault="007D0339" w:rsidP="009815DF">
          <w:pPr>
            <w:pStyle w:val="TOC3"/>
            <w:rPr>
              <w:noProof/>
            </w:rPr>
          </w:pPr>
          <w:hyperlink w:anchor="_Toc532390601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Regulations (EC) No 1069/2009 and (EU) No 142/2011 laying down health rules as regards animal by-products and derived products not intended for human consumption (Animal by-products Regulation) and its implementing Regulation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_Toc532390601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7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62CC5C1E" w14:textId="4B386241" w:rsidR="00D46D3E" w:rsidRPr="00D46D3E" w:rsidRDefault="007D0339" w:rsidP="009815DF">
          <w:pPr>
            <w:pStyle w:val="TOC3"/>
            <w:rPr>
              <w:rFonts w:eastAsiaTheme="minorEastAsia"/>
              <w:noProof/>
            </w:rPr>
          </w:pPr>
          <w:hyperlink w:anchor="_Toc532390585" w:history="1">
            <w:r w:rsidR="00D46D3E" w:rsidRPr="00D46D3E">
              <w:rPr>
                <w:rStyle w:val="Hyperlink"/>
                <w:rFonts w:ascii="Source Sans Pro Light" w:eastAsiaTheme="majorEastAsia" w:hAnsi="Source Sans Pro Light"/>
                <w:noProof/>
              </w:rPr>
              <w:t>Regulation</w:t>
            </w:r>
            <w:r w:rsidR="00D46D3E">
              <w:rPr>
                <w:rStyle w:val="Hyperlink"/>
                <w:rFonts w:ascii="Source Sans Pro Light" w:eastAsiaTheme="majorEastAsia" w:hAnsi="Source Sans Pro Light"/>
                <w:noProof/>
              </w:rPr>
              <w:t xml:space="preserve"> (EU) 10/2011 </w:t>
            </w:r>
            <w:r w:rsidR="00D46D3E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on plastic materials and articles intended to come in contact with food</w:t>
            </w:r>
            <w:r w:rsidR="00D46D3E">
              <w:rPr>
                <w:rStyle w:val="Hyperlink"/>
                <w:rFonts w:ascii="Source Sans Pro Light" w:eastAsiaTheme="majorEastAsia" w:hAnsi="Source Sans Pro Light"/>
                <w:noProof/>
              </w:rPr>
              <w:t>………………………………………………………………………………………..</w:t>
            </w:r>
            <w:r w:rsidR="00D46D3E" w:rsidRPr="00471218">
              <w:rPr>
                <w:noProof/>
                <w:webHidden/>
              </w:rPr>
              <w:fldChar w:fldCharType="begin"/>
            </w:r>
            <w:r w:rsidR="00D46D3E" w:rsidRPr="00471218">
              <w:rPr>
                <w:noProof/>
                <w:webHidden/>
              </w:rPr>
              <w:instrText xml:space="preserve"> PAGEREF _Toc532390585 \h </w:instrText>
            </w:r>
            <w:r w:rsidR="00D46D3E" w:rsidRPr="00471218">
              <w:rPr>
                <w:noProof/>
                <w:webHidden/>
              </w:rPr>
            </w:r>
            <w:r w:rsidR="00D46D3E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7</w:t>
            </w:r>
            <w:r w:rsidR="00D46D3E" w:rsidRPr="00471218">
              <w:rPr>
                <w:noProof/>
                <w:webHidden/>
              </w:rPr>
              <w:fldChar w:fldCharType="end"/>
            </w:r>
          </w:hyperlink>
        </w:p>
        <w:p w14:paraId="16A7FD4B" w14:textId="1CEB6354" w:rsidR="00471218" w:rsidRPr="00471218" w:rsidRDefault="003C7D42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602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Directive 2010/13/EU on the coordination of certain provisions laid down by law, regulation or administrative action in Member States concerning the provision of audiovisual media services (Audiovisual Media Services Directive)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_Toc532390602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7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45ACDE71" w14:textId="10FA411A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603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Recommendation 2011/25/EU establishing guidelines for the distinction between feed materials, feed additives, biocidal products and veterinary products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_Toc532390603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7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13DE77BC" w14:textId="7A8C840F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604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Directive 2011/83/EU on consumer rights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_Toc532390604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7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58A4233D" w14:textId="26A8CA35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605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Regulation (EU) No 576/2013 on the non-commercial movement of pet animals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_Toc532390605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7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2408D993" w14:textId="34F85349" w:rsidR="00D46D3E" w:rsidRDefault="007D0339" w:rsidP="00C623F3">
          <w:pPr>
            <w:pStyle w:val="TOC3"/>
            <w:rPr>
              <w:noProof/>
            </w:rPr>
          </w:pPr>
          <w:hyperlink w:anchor="_Toc532390606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Commission Recommendation (EU) 2016/1319 of 29 July 2016 amending Recommendation 2006/576/EC as regards deoxynivalenol, zearalenone and ochratoxin A in pet food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_Toc532390606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7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2795CE41" w14:textId="5538DB52" w:rsidR="009815DF" w:rsidRPr="009815DF" w:rsidRDefault="007D0339" w:rsidP="009815DF">
          <w:pPr>
            <w:pStyle w:val="TOC3"/>
            <w:rPr>
              <w:rFonts w:eastAsiaTheme="minorEastAsia"/>
              <w:noProof/>
            </w:rPr>
          </w:pPr>
          <w:hyperlink w:anchor="_Toc532390596" w:history="1">
            <w:r w:rsidR="0063760C">
              <w:rPr>
                <w:rStyle w:val="Hyperlink"/>
                <w:rFonts w:ascii="Source Sans Pro Light" w:eastAsiaTheme="majorEastAsia" w:hAnsi="Source Sans Pro Light"/>
                <w:noProof/>
              </w:rPr>
              <w:t>Regulation</w:t>
            </w:r>
            <w:r w:rsidR="009815DF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 xml:space="preserve"> </w:t>
            </w:r>
            <w:r w:rsidR="0063760C">
              <w:rPr>
                <w:rStyle w:val="Hyperlink"/>
                <w:rFonts w:ascii="Source Sans Pro Light" w:eastAsiaTheme="majorEastAsia" w:hAnsi="Source Sans Pro Light"/>
                <w:noProof/>
              </w:rPr>
              <w:t>(EU) 2020</w:t>
            </w:r>
            <w:r w:rsidR="009815DF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/3</w:t>
            </w:r>
            <w:r w:rsidR="0063760C">
              <w:rPr>
                <w:rStyle w:val="Hyperlink"/>
                <w:rFonts w:ascii="Source Sans Pro Light" w:eastAsiaTheme="majorEastAsia" w:hAnsi="Source Sans Pro Light"/>
                <w:noProof/>
              </w:rPr>
              <w:t>53</w:t>
            </w:r>
            <w:r w:rsidR="009815DF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 xml:space="preserve"> establishing a list of intended uses of animal feedingstuffs for particular nutritional purposes</w:t>
            </w:r>
            <w:r w:rsidR="009815DF" w:rsidRPr="00471218">
              <w:rPr>
                <w:noProof/>
                <w:webHidden/>
              </w:rPr>
              <w:tab/>
            </w:r>
            <w:r w:rsidR="009815DF" w:rsidRPr="00471218">
              <w:rPr>
                <w:noProof/>
                <w:webHidden/>
              </w:rPr>
              <w:fldChar w:fldCharType="begin"/>
            </w:r>
            <w:r w:rsidR="009815DF" w:rsidRPr="00471218">
              <w:rPr>
                <w:noProof/>
                <w:webHidden/>
              </w:rPr>
              <w:instrText xml:space="preserve"> PAGEREF _Toc532390596 \h </w:instrText>
            </w:r>
            <w:r w:rsidR="009815DF" w:rsidRPr="00471218">
              <w:rPr>
                <w:noProof/>
                <w:webHidden/>
              </w:rPr>
            </w:r>
            <w:r w:rsidR="009815DF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8</w:t>
            </w:r>
            <w:r w:rsidR="009815DF" w:rsidRPr="00471218">
              <w:rPr>
                <w:noProof/>
                <w:webHidden/>
              </w:rPr>
              <w:fldChar w:fldCharType="end"/>
            </w:r>
          </w:hyperlink>
        </w:p>
        <w:p w14:paraId="1B407DFB" w14:textId="7BF805A5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607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The EFSA Guidances, prepared by the Panel on Additives and Products or Substances used in Animal Feed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_Toc532390607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8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142DD862" w14:textId="3DB8DD39" w:rsidR="00471218" w:rsidRPr="00471218" w:rsidRDefault="007D0339" w:rsidP="009815DF">
          <w:pPr>
            <w:pStyle w:val="TOC3"/>
            <w:rPr>
              <w:rFonts w:eastAsiaTheme="minorEastAsia" w:cstheme="minorBidi"/>
              <w:noProof/>
              <w:color w:val="auto"/>
              <w:lang w:eastAsia="en-GB"/>
            </w:rPr>
          </w:pPr>
          <w:hyperlink w:anchor="_Toc532390608" w:history="1">
            <w:r w:rsidR="00471218" w:rsidRPr="00471218">
              <w:rPr>
                <w:rStyle w:val="Hyperlink"/>
                <w:rFonts w:ascii="Source Sans Pro Light" w:eastAsiaTheme="majorEastAsia" w:hAnsi="Source Sans Pro Light"/>
                <w:noProof/>
              </w:rPr>
              <w:t>European Register of feed additives</w:t>
            </w:r>
            <w:r w:rsidR="00471218" w:rsidRPr="00471218">
              <w:rPr>
                <w:noProof/>
                <w:webHidden/>
              </w:rPr>
              <w:tab/>
            </w:r>
            <w:r w:rsidR="00471218" w:rsidRPr="00471218">
              <w:rPr>
                <w:noProof/>
                <w:webHidden/>
              </w:rPr>
              <w:fldChar w:fldCharType="begin"/>
            </w:r>
            <w:r w:rsidR="00471218" w:rsidRPr="00471218">
              <w:rPr>
                <w:noProof/>
                <w:webHidden/>
              </w:rPr>
              <w:instrText xml:space="preserve"> PAGEREF _Toc532390608 \h </w:instrText>
            </w:r>
            <w:r w:rsidR="00471218" w:rsidRPr="00471218">
              <w:rPr>
                <w:noProof/>
                <w:webHidden/>
              </w:rPr>
            </w:r>
            <w:r w:rsidR="00471218" w:rsidRPr="00471218">
              <w:rPr>
                <w:noProof/>
                <w:webHidden/>
              </w:rPr>
              <w:fldChar w:fldCharType="separate"/>
            </w:r>
            <w:r w:rsidR="00C623F3">
              <w:rPr>
                <w:noProof/>
                <w:webHidden/>
              </w:rPr>
              <w:t>8</w:t>
            </w:r>
            <w:r w:rsidR="00471218" w:rsidRPr="00471218">
              <w:rPr>
                <w:noProof/>
                <w:webHidden/>
              </w:rPr>
              <w:fldChar w:fldCharType="end"/>
            </w:r>
          </w:hyperlink>
        </w:p>
        <w:p w14:paraId="3AEB5B58" w14:textId="039114EB" w:rsidR="00F649DE" w:rsidRDefault="00F649DE">
          <w:r w:rsidRPr="00471218">
            <w:rPr>
              <w:rFonts w:ascii="Source Sans Pro Light" w:hAnsi="Source Sans Pro Light"/>
              <w:b/>
              <w:bCs/>
              <w:noProof/>
            </w:rPr>
            <w:fldChar w:fldCharType="end"/>
          </w:r>
        </w:p>
      </w:sdtContent>
    </w:sdt>
    <w:p w14:paraId="63896ABF" w14:textId="77777777" w:rsidR="00F649DE" w:rsidRDefault="00F649DE" w:rsidP="00667095">
      <w:pPr>
        <w:jc w:val="both"/>
        <w:rPr>
          <w:rFonts w:asciiTheme="minorHAnsi" w:hAnsiTheme="minorHAnsi"/>
        </w:rPr>
      </w:pPr>
    </w:p>
    <w:p w14:paraId="518A8E82" w14:textId="77777777" w:rsidR="00F649DE" w:rsidRDefault="00F649DE" w:rsidP="00667095">
      <w:pPr>
        <w:jc w:val="both"/>
        <w:rPr>
          <w:rFonts w:asciiTheme="minorHAnsi" w:hAnsiTheme="minorHAnsi"/>
        </w:rPr>
      </w:pPr>
    </w:p>
    <w:p w14:paraId="611A7B09" w14:textId="77777777" w:rsidR="0072612C" w:rsidRDefault="0072612C" w:rsidP="00667095">
      <w:pPr>
        <w:jc w:val="both"/>
        <w:rPr>
          <w:rFonts w:ascii="Source Sans Pro" w:hAnsi="Source Sans Pro"/>
        </w:rPr>
      </w:pPr>
    </w:p>
    <w:p w14:paraId="1CD201E9" w14:textId="77777777" w:rsidR="0072612C" w:rsidRDefault="0072612C" w:rsidP="00667095">
      <w:pPr>
        <w:jc w:val="both"/>
        <w:rPr>
          <w:rFonts w:ascii="Source Sans Pro" w:hAnsi="Source Sans Pro"/>
        </w:rPr>
      </w:pPr>
    </w:p>
    <w:p w14:paraId="7BF531F1" w14:textId="77777777" w:rsidR="0072612C" w:rsidRDefault="0072612C" w:rsidP="00667095">
      <w:pPr>
        <w:jc w:val="both"/>
        <w:rPr>
          <w:rFonts w:ascii="Source Sans Pro" w:hAnsi="Source Sans Pro"/>
        </w:rPr>
      </w:pPr>
    </w:p>
    <w:p w14:paraId="2CE04CCB" w14:textId="77777777" w:rsidR="0072612C" w:rsidRDefault="0072612C" w:rsidP="00667095">
      <w:pPr>
        <w:jc w:val="both"/>
        <w:rPr>
          <w:rFonts w:ascii="Source Sans Pro" w:hAnsi="Source Sans Pro"/>
        </w:rPr>
      </w:pPr>
    </w:p>
    <w:p w14:paraId="4B7E3CF6" w14:textId="77777777" w:rsidR="0072612C" w:rsidRDefault="0072612C">
      <w:pPr>
        <w:spacing w:after="200"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14:paraId="21C731F2" w14:textId="57B4BB31" w:rsidR="00667095" w:rsidRPr="005109FA" w:rsidRDefault="00667095" w:rsidP="00471218">
      <w:pPr>
        <w:keepLines/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lastRenderedPageBreak/>
        <w:t xml:space="preserve">The list below of Community legislation is a selection of the main legislation and does not include all the legislation applicable to the </w:t>
      </w:r>
      <w:r w:rsidRPr="00B338DA">
        <w:rPr>
          <w:rFonts w:ascii="Source Sans Pro" w:hAnsi="Source Sans Pro"/>
        </w:rPr>
        <w:t>pet food</w:t>
      </w:r>
      <w:r w:rsidRPr="005109FA">
        <w:rPr>
          <w:rFonts w:ascii="Source Sans Pro" w:hAnsi="Source Sans Pro"/>
        </w:rPr>
        <w:t xml:space="preserve"> sector. </w:t>
      </w:r>
    </w:p>
    <w:p w14:paraId="27B34EE8" w14:textId="77777777" w:rsidR="005109FA" w:rsidRPr="00686E32" w:rsidRDefault="005109FA" w:rsidP="00471218">
      <w:pPr>
        <w:pStyle w:val="FEDIAF1"/>
        <w:rPr>
          <w:sz w:val="18"/>
        </w:rPr>
      </w:pPr>
    </w:p>
    <w:p w14:paraId="4DE8E7EF" w14:textId="5F9D1173" w:rsidR="00F649DE" w:rsidRDefault="00DC2069" w:rsidP="00471218">
      <w:pPr>
        <w:pStyle w:val="FEDIAF1"/>
      </w:pPr>
      <w:bookmarkStart w:id="0" w:name="_Toc532390578"/>
      <w:r w:rsidRPr="00DC2069">
        <w:t xml:space="preserve">Directive </w:t>
      </w:r>
      <w:hyperlink r:id="rId8" w:history="1">
        <w:r w:rsidRPr="00DC2069">
          <w:rPr>
            <w:rStyle w:val="Hyperlink"/>
          </w:rPr>
          <w:t>82/475/EEC</w:t>
        </w:r>
      </w:hyperlink>
      <w:r>
        <w:t xml:space="preserve"> </w:t>
      </w:r>
      <w:r w:rsidRPr="00A44BA4">
        <w:t>laying down the categories of feed materials for the labelling of compound feedingstuffs</w:t>
      </w:r>
      <w:bookmarkEnd w:id="0"/>
    </w:p>
    <w:p w14:paraId="7C5E1C1E" w14:textId="433CBF0C" w:rsidR="005C191A" w:rsidRPr="009403A3" w:rsidRDefault="00386862" w:rsidP="00471218">
      <w:pPr>
        <w:keepLines/>
        <w:jc w:val="both"/>
        <w:rPr>
          <w:rFonts w:ascii="Source Sans Pro" w:hAnsi="Source Sans Pro"/>
          <w:b/>
          <w:color w:val="auto"/>
        </w:rPr>
      </w:pPr>
      <w:r w:rsidRPr="005109FA">
        <w:rPr>
          <w:rFonts w:ascii="Source Sans Pro" w:hAnsi="Source Sans Pro"/>
          <w:bCs/>
          <w:color w:val="auto"/>
        </w:rPr>
        <w:t xml:space="preserve">Lists and defines the 19 categories of feed materials that may be used in </w:t>
      </w:r>
      <w:r w:rsidRPr="00B338DA">
        <w:rPr>
          <w:rFonts w:ascii="Source Sans Pro" w:hAnsi="Source Sans Pro"/>
          <w:bCs/>
          <w:color w:val="auto"/>
        </w:rPr>
        <w:t xml:space="preserve">pet food </w:t>
      </w:r>
      <w:r w:rsidRPr="005109FA">
        <w:rPr>
          <w:rFonts w:ascii="Source Sans Pro" w:hAnsi="Source Sans Pro"/>
          <w:bCs/>
          <w:color w:val="auto"/>
        </w:rPr>
        <w:t xml:space="preserve">and labelled as such on finished </w:t>
      </w:r>
      <w:r w:rsidRPr="00B338DA">
        <w:rPr>
          <w:rFonts w:ascii="Source Sans Pro" w:hAnsi="Source Sans Pro"/>
          <w:bCs/>
          <w:color w:val="auto"/>
        </w:rPr>
        <w:t xml:space="preserve">pet food </w:t>
      </w:r>
      <w:r w:rsidRPr="005109FA">
        <w:rPr>
          <w:rFonts w:ascii="Source Sans Pro" w:hAnsi="Source Sans Pro"/>
          <w:bCs/>
          <w:color w:val="auto"/>
        </w:rPr>
        <w:t xml:space="preserve">products. </w:t>
      </w:r>
    </w:p>
    <w:p w14:paraId="338C1D6C" w14:textId="77777777" w:rsidR="00DC2069" w:rsidRPr="00686E32" w:rsidRDefault="00DC2069" w:rsidP="00471218">
      <w:pPr>
        <w:pStyle w:val="FEDIAF1"/>
        <w:rPr>
          <w:rFonts w:asciiTheme="minorHAnsi" w:hAnsiTheme="minorHAnsi"/>
          <w:sz w:val="18"/>
        </w:rPr>
      </w:pPr>
    </w:p>
    <w:p w14:paraId="143D45C3" w14:textId="5FBCCD75" w:rsidR="00667095" w:rsidRPr="003749D8" w:rsidRDefault="00667095" w:rsidP="00471218">
      <w:pPr>
        <w:pStyle w:val="FEDIAF1"/>
      </w:pPr>
      <w:bookmarkStart w:id="1" w:name="_Toc532390579"/>
      <w:r w:rsidRPr="003749D8">
        <w:t xml:space="preserve">Directive </w:t>
      </w:r>
      <w:hyperlink r:id="rId9" w:history="1">
        <w:r w:rsidRPr="00386862">
          <w:rPr>
            <w:rStyle w:val="Hyperlink"/>
          </w:rPr>
          <w:t>94/62/EC</w:t>
        </w:r>
      </w:hyperlink>
      <w:r w:rsidRPr="003749D8">
        <w:t xml:space="preserve"> on packaging and packaging waste.</w:t>
      </w:r>
      <w:bookmarkEnd w:id="1"/>
    </w:p>
    <w:p w14:paraId="0DA9F574" w14:textId="77777777" w:rsidR="00667095" w:rsidRPr="005109FA" w:rsidRDefault="006670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>Prevention of environmental impact of packaging and packaging waste.</w:t>
      </w:r>
    </w:p>
    <w:p w14:paraId="4C3A0BAD" w14:textId="77777777" w:rsidR="00667095" w:rsidRPr="005109FA" w:rsidRDefault="006670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>Reduction of packaging waste.</w:t>
      </w:r>
    </w:p>
    <w:p w14:paraId="69DECFF3" w14:textId="3035FC38" w:rsidR="00667095" w:rsidRPr="005109FA" w:rsidRDefault="006670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>Maximum heavy metal concentrations in packaging materials.</w:t>
      </w:r>
    </w:p>
    <w:p w14:paraId="5B453C34" w14:textId="77777777" w:rsidR="005109FA" w:rsidRPr="00686E32" w:rsidRDefault="005109FA" w:rsidP="00471218">
      <w:pPr>
        <w:pStyle w:val="FEDIAF1"/>
        <w:rPr>
          <w:sz w:val="18"/>
        </w:rPr>
      </w:pPr>
    </w:p>
    <w:p w14:paraId="56AA677F" w14:textId="2D21520A" w:rsidR="005C191A" w:rsidRDefault="005C191A" w:rsidP="00471218">
      <w:pPr>
        <w:pStyle w:val="FEDIAF1"/>
      </w:pPr>
      <w:bookmarkStart w:id="2" w:name="_Toc532390580"/>
      <w:r w:rsidRPr="005C191A">
        <w:t>D</w:t>
      </w:r>
      <w:r>
        <w:t>irective</w:t>
      </w:r>
      <w:r w:rsidRPr="005C191A">
        <w:t xml:space="preserve"> </w:t>
      </w:r>
      <w:hyperlink r:id="rId10" w:history="1">
        <w:r w:rsidRPr="000A3695">
          <w:rPr>
            <w:rStyle w:val="Hyperlink"/>
          </w:rPr>
          <w:t>98/51</w:t>
        </w:r>
        <w:r w:rsidR="000A3695" w:rsidRPr="000A3695">
          <w:rPr>
            <w:rStyle w:val="Hyperlink"/>
          </w:rPr>
          <w:t>/EC</w:t>
        </w:r>
      </w:hyperlink>
      <w:r>
        <w:t xml:space="preserve"> </w:t>
      </w:r>
      <w:r w:rsidRPr="005C191A">
        <w:t>laying down the conditions and arrangements for approving and registering certain establishments and intermediaries operating in the animal feed sector</w:t>
      </w:r>
      <w:bookmarkEnd w:id="2"/>
    </w:p>
    <w:p w14:paraId="5F0461A2" w14:textId="3FCC3AB7" w:rsidR="009403A3" w:rsidRPr="003749D8" w:rsidRDefault="000A3695" w:rsidP="00471218">
      <w:pPr>
        <w:keepLines/>
        <w:numPr>
          <w:ilvl w:val="0"/>
          <w:numId w:val="1"/>
        </w:numPr>
        <w:jc w:val="both"/>
      </w:pPr>
      <w:r w:rsidRPr="000A3695">
        <w:rPr>
          <w:rFonts w:ascii="Source Sans Pro" w:hAnsi="Source Sans Pro"/>
        </w:rPr>
        <w:t xml:space="preserve">According to feed hygiene regulation 183/2005, imports from third countries must comply with the requirements of this directive until the European Commission will have drawn up third country lists and third country lists of establishments </w:t>
      </w:r>
    </w:p>
    <w:p w14:paraId="0FD60302" w14:textId="77777777" w:rsidR="005109FA" w:rsidRPr="00686E32" w:rsidRDefault="005109FA" w:rsidP="00471218">
      <w:pPr>
        <w:pStyle w:val="FEDIAF1"/>
        <w:rPr>
          <w:sz w:val="18"/>
        </w:rPr>
      </w:pPr>
    </w:p>
    <w:p w14:paraId="5FD92453" w14:textId="0A2385F0" w:rsidR="00824AD9" w:rsidRDefault="00824AD9" w:rsidP="00471218">
      <w:pPr>
        <w:pStyle w:val="FEDIAF1"/>
      </w:pPr>
      <w:bookmarkStart w:id="3" w:name="_Toc532390581"/>
      <w:r w:rsidRPr="00824AD9">
        <w:t>D</w:t>
      </w:r>
      <w:r>
        <w:t>irective</w:t>
      </w:r>
      <w:r w:rsidRPr="00824AD9">
        <w:t xml:space="preserve"> </w:t>
      </w:r>
      <w:hyperlink r:id="rId11" w:history="1">
        <w:r w:rsidRPr="008C5F5B">
          <w:rPr>
            <w:rStyle w:val="Hyperlink"/>
          </w:rPr>
          <w:t>2001/18/EC</w:t>
        </w:r>
      </w:hyperlink>
      <w:r>
        <w:t xml:space="preserve"> </w:t>
      </w:r>
      <w:r w:rsidRPr="00824AD9">
        <w:t>on the deliberate release into the environment of genetically modified organisms and repealing Council Directive 90/220</w:t>
      </w:r>
      <w:bookmarkEnd w:id="3"/>
    </w:p>
    <w:p w14:paraId="7E53F233" w14:textId="62EED8CE" w:rsidR="000A3695" w:rsidRPr="000A3695" w:rsidRDefault="000A36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 w:rsidRPr="000A3695">
        <w:rPr>
          <w:rFonts w:ascii="Source Sans Pro" w:hAnsi="Source Sans Pro"/>
        </w:rPr>
        <w:t>C</w:t>
      </w:r>
      <w:r>
        <w:rPr>
          <w:rFonts w:ascii="Source Sans Pro" w:hAnsi="Source Sans Pro"/>
        </w:rPr>
        <w:t xml:space="preserve">oncerning </w:t>
      </w:r>
      <w:r w:rsidRPr="000A3695">
        <w:rPr>
          <w:rFonts w:ascii="Source Sans Pro" w:hAnsi="Source Sans Pro" w:hint="eastAsia"/>
        </w:rPr>
        <w:t>the deliberate release into the environment of genetically modified organisms for any other purposes than placing on the market within the Community</w:t>
      </w:r>
      <w:r>
        <w:rPr>
          <w:rFonts w:ascii="Source Sans Pro" w:hAnsi="Source Sans Pro"/>
        </w:rPr>
        <w:t>.</w:t>
      </w:r>
    </w:p>
    <w:p w14:paraId="757F7D7E" w14:textId="25898F95" w:rsidR="000A3695" w:rsidRPr="000A3695" w:rsidRDefault="000A36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Governing the </w:t>
      </w:r>
      <w:r w:rsidRPr="000A3695">
        <w:rPr>
          <w:rFonts w:ascii="Source Sans Pro" w:hAnsi="Source Sans Pro" w:hint="eastAsia"/>
        </w:rPr>
        <w:t>placing on the market genetically modified organisms as or in products within the Community</w:t>
      </w:r>
      <w:r>
        <w:rPr>
          <w:rFonts w:ascii="Source Sans Pro" w:hAnsi="Source Sans Pro"/>
        </w:rPr>
        <w:t xml:space="preserve">. </w:t>
      </w:r>
    </w:p>
    <w:p w14:paraId="40B66414" w14:textId="2B161FBA" w:rsidR="000A3695" w:rsidRPr="000A3695" w:rsidRDefault="000A36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 w:rsidRPr="000A3695">
        <w:rPr>
          <w:rFonts w:ascii="Source Sans Pro" w:hAnsi="Source Sans Pro"/>
        </w:rPr>
        <w:t xml:space="preserve">Provides labelling requirements and the threshold of 0.9% of authorised GMOs which need not to be labelled in case of adventitious, unavoidable presence. </w:t>
      </w:r>
    </w:p>
    <w:p w14:paraId="0C6E30A4" w14:textId="77777777" w:rsidR="005109FA" w:rsidRDefault="005109FA" w:rsidP="00471218">
      <w:pPr>
        <w:pStyle w:val="FEDIAF1"/>
      </w:pPr>
    </w:p>
    <w:p w14:paraId="6E50F486" w14:textId="203E2DC2" w:rsidR="00824AD9" w:rsidRDefault="008C5F5B" w:rsidP="00471218">
      <w:pPr>
        <w:pStyle w:val="FEDIAF1"/>
      </w:pPr>
      <w:bookmarkStart w:id="4" w:name="_Toc532390582"/>
      <w:r w:rsidRPr="008C5F5B">
        <w:t>D</w:t>
      </w:r>
      <w:r>
        <w:t>irective</w:t>
      </w:r>
      <w:r w:rsidRPr="008C5F5B">
        <w:t xml:space="preserve"> </w:t>
      </w:r>
      <w:hyperlink r:id="rId12" w:history="1">
        <w:r w:rsidRPr="008C5F5B">
          <w:rPr>
            <w:rStyle w:val="Hyperlink"/>
          </w:rPr>
          <w:t>2001/82/EC</w:t>
        </w:r>
      </w:hyperlink>
      <w:r>
        <w:t xml:space="preserve"> </w:t>
      </w:r>
      <w:r w:rsidRPr="008C5F5B">
        <w:t>on the Community code relating to veterinary medicinal products</w:t>
      </w:r>
      <w:bookmarkEnd w:id="4"/>
    </w:p>
    <w:p w14:paraId="0CCD7B73" w14:textId="77777777" w:rsidR="005F2579" w:rsidRDefault="000A36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Defines what has to be considered a veterinary medicinal </w:t>
      </w:r>
      <w:r w:rsidR="005F2579">
        <w:rPr>
          <w:rFonts w:ascii="Source Sans Pro" w:hAnsi="Source Sans Pro"/>
        </w:rPr>
        <w:t xml:space="preserve">product: </w:t>
      </w:r>
    </w:p>
    <w:p w14:paraId="44E8D6D2" w14:textId="66134867" w:rsidR="000A3695" w:rsidRPr="000A3695" w:rsidRDefault="000A36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 w:rsidRPr="000A3695">
        <w:rPr>
          <w:rFonts w:ascii="Source Sans Pro" w:hAnsi="Source Sans Pro" w:hint="eastAsia"/>
        </w:rPr>
        <w:t>any substance or combination of substances presented as having properties for treating or preventing disease in animals; or</w:t>
      </w:r>
    </w:p>
    <w:p w14:paraId="3386008B" w14:textId="3B51BDC4" w:rsidR="000A3695" w:rsidRPr="000A3695" w:rsidRDefault="000A36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 w:rsidRPr="000A3695">
        <w:rPr>
          <w:rFonts w:ascii="Source Sans Pro" w:hAnsi="Source Sans Pro" w:hint="eastAsia"/>
        </w:rPr>
        <w:t>any substance or combination of substances which may be used in or administered to animals with a view either to restoring, correcting or modifying physiological functions by exerting a pharmacological, immunological or metabolic action, or to making a medical diagnosis.</w:t>
      </w:r>
    </w:p>
    <w:p w14:paraId="6A1A9CA5" w14:textId="77777777" w:rsidR="005109FA" w:rsidRDefault="005109FA" w:rsidP="00471218">
      <w:pPr>
        <w:pStyle w:val="FEDIAF1"/>
      </w:pPr>
    </w:p>
    <w:p w14:paraId="65DF83D1" w14:textId="7A4CA9CA" w:rsidR="00667095" w:rsidRPr="003749D8" w:rsidRDefault="00667095" w:rsidP="00471218">
      <w:pPr>
        <w:pStyle w:val="FEDIAF1"/>
      </w:pPr>
      <w:bookmarkStart w:id="5" w:name="_Toc532390583"/>
      <w:r w:rsidRPr="003749D8">
        <w:t xml:space="preserve">Regulation </w:t>
      </w:r>
      <w:hyperlink r:id="rId13" w:history="1">
        <w:r w:rsidRPr="008C5F5B">
          <w:rPr>
            <w:rStyle w:val="Hyperlink"/>
          </w:rPr>
          <w:t>(EC) No 999/2001</w:t>
        </w:r>
      </w:hyperlink>
      <w:r w:rsidRPr="003749D8">
        <w:t xml:space="preserve"> laying down the rules for the prevention, control and eradication of certain transmissible spongiform encephalopathies </w:t>
      </w:r>
      <w:r w:rsidRPr="008C5F5B">
        <w:rPr>
          <w:color w:val="FF0000"/>
        </w:rPr>
        <w:t>(TSE Regulation)</w:t>
      </w:r>
      <w:bookmarkEnd w:id="5"/>
    </w:p>
    <w:p w14:paraId="4AD0C4F0" w14:textId="77777777" w:rsidR="00667095" w:rsidRPr="005109FA" w:rsidRDefault="00667095" w:rsidP="00471218">
      <w:pPr>
        <w:pStyle w:val="Header"/>
        <w:keepLines/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>Rules for the prevention, control and eradication of transmissible spongiform encephalopathies (TSEs) in animals.</w:t>
      </w:r>
    </w:p>
    <w:p w14:paraId="46200720" w14:textId="77777777" w:rsidR="00667095" w:rsidRPr="005109FA" w:rsidRDefault="006670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>Determination of BSE status – Classification of countries or regions into 3 categories.</w:t>
      </w:r>
    </w:p>
    <w:p w14:paraId="55BE2B98" w14:textId="77777777" w:rsidR="00667095" w:rsidRPr="005109FA" w:rsidRDefault="006670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TSE </w:t>
      </w:r>
      <w:r w:rsidRPr="00B338DA">
        <w:rPr>
          <w:rFonts w:ascii="Source Sans Pro" w:hAnsi="Source Sans Pro"/>
        </w:rPr>
        <w:t>Monitoring</w:t>
      </w:r>
      <w:r w:rsidRPr="005109FA">
        <w:rPr>
          <w:rFonts w:ascii="Source Sans Pro" w:hAnsi="Source Sans Pro"/>
        </w:rPr>
        <w:t xml:space="preserve"> Programme.</w:t>
      </w:r>
    </w:p>
    <w:p w14:paraId="7B9B3F4E" w14:textId="77777777" w:rsidR="00667095" w:rsidRPr="005109FA" w:rsidRDefault="006670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>Animal feeding.</w:t>
      </w:r>
    </w:p>
    <w:p w14:paraId="0DD8926B" w14:textId="77777777" w:rsidR="00667095" w:rsidRPr="005109FA" w:rsidRDefault="006670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Specified </w:t>
      </w:r>
      <w:r w:rsidRPr="00B338DA">
        <w:rPr>
          <w:rFonts w:ascii="Source Sans Pro" w:hAnsi="Source Sans Pro"/>
        </w:rPr>
        <w:t>Risk</w:t>
      </w:r>
      <w:r w:rsidRPr="005109FA">
        <w:rPr>
          <w:rFonts w:ascii="Source Sans Pro" w:hAnsi="Source Sans Pro"/>
        </w:rPr>
        <w:t xml:space="preserve"> Materials (SRMs).</w:t>
      </w:r>
    </w:p>
    <w:p w14:paraId="4875C8BF" w14:textId="77777777" w:rsidR="00667095" w:rsidRPr="005109FA" w:rsidRDefault="006670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Placing on the market and export of products of animal origin including </w:t>
      </w:r>
      <w:r w:rsidRPr="00B338DA">
        <w:rPr>
          <w:rFonts w:ascii="Source Sans Pro" w:hAnsi="Source Sans Pro"/>
        </w:rPr>
        <w:t>pet food</w:t>
      </w:r>
      <w:r w:rsidRPr="005109FA">
        <w:rPr>
          <w:rFonts w:ascii="Source Sans Pro" w:hAnsi="Source Sans Pro"/>
        </w:rPr>
        <w:t>.</w:t>
      </w:r>
    </w:p>
    <w:p w14:paraId="69A311DD" w14:textId="77777777" w:rsidR="00667095" w:rsidRPr="005109FA" w:rsidRDefault="006670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Import of products of animal origin including feed materials and </w:t>
      </w:r>
      <w:r w:rsidRPr="00B338DA">
        <w:rPr>
          <w:rFonts w:ascii="Source Sans Pro" w:hAnsi="Source Sans Pro"/>
        </w:rPr>
        <w:t>pet food</w:t>
      </w:r>
      <w:r w:rsidRPr="005109FA">
        <w:rPr>
          <w:rFonts w:ascii="Source Sans Pro" w:hAnsi="Source Sans Pro"/>
        </w:rPr>
        <w:t xml:space="preserve">.  </w:t>
      </w:r>
    </w:p>
    <w:p w14:paraId="2FF13A41" w14:textId="77777777" w:rsidR="00667095" w:rsidRPr="003749D8" w:rsidRDefault="00667095" w:rsidP="00471218">
      <w:pPr>
        <w:keepLines/>
        <w:jc w:val="both"/>
        <w:rPr>
          <w:rFonts w:asciiTheme="minorHAnsi" w:hAnsiTheme="minorHAnsi"/>
        </w:rPr>
      </w:pPr>
    </w:p>
    <w:p w14:paraId="5454A9D3" w14:textId="557A8274" w:rsidR="00667095" w:rsidRPr="00686E32" w:rsidRDefault="00667095" w:rsidP="00471218">
      <w:pPr>
        <w:pStyle w:val="FEDIAF1"/>
        <w:rPr>
          <w:color w:val="FF0000"/>
        </w:rPr>
      </w:pPr>
      <w:bookmarkStart w:id="6" w:name="_Toc532390584"/>
      <w:r w:rsidRPr="003749D8">
        <w:lastRenderedPageBreak/>
        <w:t xml:space="preserve">Directive </w:t>
      </w:r>
      <w:hyperlink r:id="rId14" w:history="1">
        <w:r w:rsidRPr="008C5F5B">
          <w:rPr>
            <w:rStyle w:val="Hyperlink"/>
          </w:rPr>
          <w:t>2002/32/EC</w:t>
        </w:r>
      </w:hyperlink>
      <w:r w:rsidRPr="003749D8">
        <w:t xml:space="preserve"> on </w:t>
      </w:r>
      <w:r w:rsidRPr="00B72285">
        <w:rPr>
          <w:color w:val="FF0000"/>
        </w:rPr>
        <w:t>undesirable substances</w:t>
      </w:r>
      <w:r w:rsidRPr="00686E32">
        <w:rPr>
          <w:color w:val="FF0000"/>
        </w:rPr>
        <w:t xml:space="preserve"> in animal feed</w:t>
      </w:r>
      <w:bookmarkEnd w:id="6"/>
    </w:p>
    <w:p w14:paraId="4F03F82A" w14:textId="77777777" w:rsidR="00667095" w:rsidRPr="005109FA" w:rsidRDefault="006670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>Feed materials may only be put into circulation in the EC if they are sound genuine and of merchantable quality.</w:t>
      </w:r>
    </w:p>
    <w:p w14:paraId="66544E67" w14:textId="77777777" w:rsidR="00667095" w:rsidRPr="005109FA" w:rsidRDefault="006670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List of </w:t>
      </w:r>
      <w:r w:rsidRPr="00C24958">
        <w:rPr>
          <w:rFonts w:ascii="Source Sans Pro" w:hAnsi="Source Sans Pro"/>
        </w:rPr>
        <w:t>undesirable substances</w:t>
      </w:r>
      <w:r w:rsidRPr="005109FA">
        <w:rPr>
          <w:rFonts w:ascii="Source Sans Pro" w:hAnsi="Source Sans Pro"/>
        </w:rPr>
        <w:t xml:space="preserve"> and the tolerated maximum levels in feed materials and </w:t>
      </w:r>
      <w:r w:rsidRPr="00C24958">
        <w:rPr>
          <w:rFonts w:ascii="Source Sans Pro" w:hAnsi="Source Sans Pro"/>
        </w:rPr>
        <w:t>feedingstuffs</w:t>
      </w:r>
      <w:r w:rsidRPr="005109FA">
        <w:rPr>
          <w:rFonts w:ascii="Source Sans Pro" w:hAnsi="Source Sans Pro"/>
        </w:rPr>
        <w:t>.</w:t>
      </w:r>
    </w:p>
    <w:p w14:paraId="4B50BBE1" w14:textId="77777777" w:rsidR="00667095" w:rsidRPr="005109FA" w:rsidRDefault="00667095" w:rsidP="00471218">
      <w:pPr>
        <w:keepLines/>
        <w:numPr>
          <w:ilvl w:val="0"/>
          <w:numId w:val="1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Dilution and mixing with other consignments of feed materials or </w:t>
      </w:r>
      <w:r w:rsidRPr="00C24958">
        <w:rPr>
          <w:rFonts w:ascii="Source Sans Pro" w:hAnsi="Source Sans Pro"/>
        </w:rPr>
        <w:t>feedingstuffs</w:t>
      </w:r>
      <w:r w:rsidRPr="005109FA">
        <w:rPr>
          <w:rFonts w:ascii="Source Sans Pro" w:hAnsi="Source Sans Pro"/>
        </w:rPr>
        <w:t xml:space="preserve"> is banned. </w:t>
      </w:r>
    </w:p>
    <w:p w14:paraId="443FEE00" w14:textId="77777777" w:rsidR="00386862" w:rsidRDefault="00386862" w:rsidP="00471218">
      <w:pPr>
        <w:pStyle w:val="FEDIAF1"/>
      </w:pPr>
    </w:p>
    <w:p w14:paraId="43AE1D42" w14:textId="7A942CD2" w:rsidR="00667095" w:rsidRPr="003749D8" w:rsidRDefault="00667095" w:rsidP="00471218">
      <w:pPr>
        <w:pStyle w:val="FEDIAF1"/>
        <w:rPr>
          <w:lang w:eastAsia="en-US"/>
        </w:rPr>
      </w:pPr>
      <w:bookmarkStart w:id="7" w:name="_Toc532390586"/>
      <w:r w:rsidRPr="003749D8">
        <w:t xml:space="preserve">Regulation </w:t>
      </w:r>
      <w:hyperlink r:id="rId15" w:history="1">
        <w:r w:rsidRPr="00386862">
          <w:rPr>
            <w:rStyle w:val="Hyperlink"/>
          </w:rPr>
          <w:t>(EC) No 178/2002</w:t>
        </w:r>
      </w:hyperlink>
      <w:r w:rsidRPr="003749D8">
        <w:rPr>
          <w:lang w:eastAsia="en-US"/>
        </w:rPr>
        <w:t xml:space="preserve"> laying down the general principles and requirements of food law, establishing the European Food Safety Authority and laying down procedures in matters of food safety</w:t>
      </w:r>
      <w:bookmarkEnd w:id="7"/>
    </w:p>
    <w:p w14:paraId="09A540E6" w14:textId="77777777" w:rsidR="00667095" w:rsidRPr="005109FA" w:rsidRDefault="00667095" w:rsidP="00471218">
      <w:pPr>
        <w:pStyle w:val="Header"/>
        <w:keepNext/>
        <w:keepLines/>
        <w:numPr>
          <w:ilvl w:val="0"/>
          <w:numId w:val="2"/>
        </w:numPr>
        <w:tabs>
          <w:tab w:val="clear" w:pos="4513"/>
          <w:tab w:val="clear" w:pos="9026"/>
        </w:tabs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The Regulation applies to all stages of the production, processing and distribution of food and feed. </w:t>
      </w:r>
    </w:p>
    <w:p w14:paraId="23B77BD1" w14:textId="77777777" w:rsidR="00667095" w:rsidRPr="005109FA" w:rsidRDefault="00667095" w:rsidP="00471218">
      <w:pPr>
        <w:pStyle w:val="Header"/>
        <w:keepNext/>
        <w:keepLines/>
        <w:numPr>
          <w:ilvl w:val="0"/>
          <w:numId w:val="2"/>
        </w:numPr>
        <w:tabs>
          <w:tab w:val="clear" w:pos="4513"/>
          <w:tab w:val="clear" w:pos="9026"/>
        </w:tabs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It applies to feed produced for, or fed to, food producing animals, not directly to </w:t>
      </w:r>
      <w:r w:rsidRPr="00C24958">
        <w:rPr>
          <w:rFonts w:ascii="Source Sans Pro" w:hAnsi="Source Sans Pro"/>
        </w:rPr>
        <w:t>pet food</w:t>
      </w:r>
      <w:r w:rsidRPr="005109FA">
        <w:rPr>
          <w:rFonts w:ascii="Source Sans Pro" w:hAnsi="Source Sans Pro"/>
        </w:rPr>
        <w:t xml:space="preserve">. The Regulation’s principles on safety, </w:t>
      </w:r>
      <w:r w:rsidRPr="00C24958">
        <w:rPr>
          <w:rFonts w:ascii="Source Sans Pro" w:hAnsi="Source Sans Pro"/>
        </w:rPr>
        <w:t>traceability</w:t>
      </w:r>
      <w:r w:rsidRPr="005109FA">
        <w:rPr>
          <w:rFonts w:ascii="Source Sans Pro" w:hAnsi="Source Sans Pro"/>
        </w:rPr>
        <w:t xml:space="preserve">, self-responsibilities and definitions must be observed by </w:t>
      </w:r>
      <w:r w:rsidRPr="00C24958">
        <w:rPr>
          <w:rFonts w:ascii="Source Sans Pro" w:hAnsi="Source Sans Pro"/>
        </w:rPr>
        <w:t>pet food</w:t>
      </w:r>
      <w:r w:rsidRPr="005109FA">
        <w:rPr>
          <w:rFonts w:ascii="Source Sans Pro" w:hAnsi="Source Sans Pro"/>
        </w:rPr>
        <w:t xml:space="preserve"> manufacturers.  </w:t>
      </w:r>
    </w:p>
    <w:p w14:paraId="5115C69C" w14:textId="77777777" w:rsidR="00667095" w:rsidRPr="005109FA" w:rsidRDefault="00667095" w:rsidP="00471218">
      <w:pPr>
        <w:pStyle w:val="Header"/>
        <w:keepNext/>
        <w:keepLines/>
        <w:numPr>
          <w:ilvl w:val="0"/>
          <w:numId w:val="2"/>
        </w:numPr>
        <w:tabs>
          <w:tab w:val="clear" w:pos="4513"/>
          <w:tab w:val="clear" w:pos="9026"/>
        </w:tabs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>Via Regulation 183/2005/EC on Feed Hygiene, the Rapid Alert System for Food and Feed (</w:t>
      </w:r>
      <w:r w:rsidRPr="00C24958">
        <w:rPr>
          <w:rFonts w:ascii="Source Sans Pro" w:hAnsi="Source Sans Pro"/>
        </w:rPr>
        <w:t>RASFF</w:t>
      </w:r>
      <w:r w:rsidRPr="005109FA">
        <w:rPr>
          <w:rFonts w:ascii="Source Sans Pro" w:hAnsi="Source Sans Pro"/>
        </w:rPr>
        <w:t xml:space="preserve">) applies to </w:t>
      </w:r>
      <w:r w:rsidRPr="00C24958">
        <w:rPr>
          <w:rFonts w:ascii="Source Sans Pro" w:hAnsi="Source Sans Pro"/>
        </w:rPr>
        <w:t>pet food</w:t>
      </w:r>
      <w:r w:rsidRPr="005109FA">
        <w:rPr>
          <w:rFonts w:ascii="Source Sans Pro" w:hAnsi="Source Sans Pro"/>
        </w:rPr>
        <w:t xml:space="preserve">. </w:t>
      </w:r>
    </w:p>
    <w:p w14:paraId="4B7125AA" w14:textId="77777777" w:rsidR="00667095" w:rsidRPr="005109FA" w:rsidRDefault="00667095" w:rsidP="00471218">
      <w:pPr>
        <w:pStyle w:val="Header"/>
        <w:keepNext/>
        <w:keepLines/>
        <w:numPr>
          <w:ilvl w:val="0"/>
          <w:numId w:val="2"/>
        </w:numPr>
        <w:tabs>
          <w:tab w:val="clear" w:pos="4513"/>
          <w:tab w:val="clear" w:pos="9026"/>
        </w:tabs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Basic principles of the Regulation should be followed by the </w:t>
      </w:r>
      <w:r w:rsidRPr="00C24958">
        <w:rPr>
          <w:rFonts w:ascii="Source Sans Pro" w:hAnsi="Source Sans Pro"/>
        </w:rPr>
        <w:t>pet food</w:t>
      </w:r>
      <w:r w:rsidRPr="005109FA">
        <w:rPr>
          <w:rFonts w:ascii="Source Sans Pro" w:hAnsi="Source Sans Pro"/>
        </w:rPr>
        <w:t xml:space="preserve"> industry, such as</w:t>
      </w:r>
      <w:r w:rsidRPr="00C24958">
        <w:rPr>
          <w:rFonts w:ascii="Source Sans Pro" w:hAnsi="Source Sans Pro"/>
        </w:rPr>
        <w:t>:</w:t>
      </w:r>
    </w:p>
    <w:p w14:paraId="4EBEC02D" w14:textId="77777777" w:rsidR="00667095" w:rsidRPr="005109FA" w:rsidRDefault="00667095" w:rsidP="00471218">
      <w:pPr>
        <w:pStyle w:val="Header"/>
        <w:keepNext/>
        <w:keepLines/>
        <w:numPr>
          <w:ilvl w:val="1"/>
          <w:numId w:val="2"/>
        </w:numPr>
        <w:tabs>
          <w:tab w:val="clear" w:pos="4513"/>
          <w:tab w:val="clear" w:pos="9026"/>
        </w:tabs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>Feed safety requirements - Feed must be safe.</w:t>
      </w:r>
    </w:p>
    <w:p w14:paraId="06DF5AE3" w14:textId="5F400DB6" w:rsidR="00667095" w:rsidRPr="005109FA" w:rsidRDefault="00667095" w:rsidP="00471218">
      <w:pPr>
        <w:pStyle w:val="Header"/>
        <w:keepNext/>
        <w:keepLines/>
        <w:numPr>
          <w:ilvl w:val="1"/>
          <w:numId w:val="2"/>
        </w:numPr>
        <w:tabs>
          <w:tab w:val="clear" w:pos="4513"/>
          <w:tab w:val="clear" w:pos="9026"/>
        </w:tabs>
        <w:jc w:val="both"/>
        <w:rPr>
          <w:rFonts w:ascii="Source Sans Pro" w:hAnsi="Source Sans Pro"/>
        </w:rPr>
      </w:pPr>
      <w:r w:rsidRPr="00C24958">
        <w:rPr>
          <w:rFonts w:ascii="Source Sans Pro" w:hAnsi="Source Sans Pro"/>
        </w:rPr>
        <w:t>Traceability</w:t>
      </w:r>
      <w:r w:rsidRPr="005109FA">
        <w:rPr>
          <w:rFonts w:ascii="Source Sans Pro" w:hAnsi="Source Sans Pro"/>
        </w:rPr>
        <w:t xml:space="preserve"> principles (full </w:t>
      </w:r>
      <w:r w:rsidRPr="00C24958">
        <w:rPr>
          <w:rFonts w:ascii="Source Sans Pro" w:hAnsi="Source Sans Pro"/>
        </w:rPr>
        <w:t xml:space="preserve">traceability </w:t>
      </w:r>
      <w:r w:rsidRPr="005109FA">
        <w:rPr>
          <w:rFonts w:ascii="Source Sans Pro" w:hAnsi="Source Sans Pro"/>
        </w:rPr>
        <w:t xml:space="preserve">of feed materials and </w:t>
      </w:r>
      <w:r w:rsidRPr="00C24958">
        <w:rPr>
          <w:rFonts w:ascii="Source Sans Pro" w:hAnsi="Source Sans Pro"/>
        </w:rPr>
        <w:t>finished products</w:t>
      </w:r>
      <w:r w:rsidRPr="005109FA">
        <w:rPr>
          <w:rFonts w:ascii="Source Sans Pro" w:hAnsi="Source Sans Pro"/>
        </w:rPr>
        <w:t>).</w:t>
      </w:r>
    </w:p>
    <w:p w14:paraId="22510093" w14:textId="77777777" w:rsidR="0072612C" w:rsidRDefault="0072612C" w:rsidP="00471218">
      <w:pPr>
        <w:pStyle w:val="FEDIAF1"/>
      </w:pPr>
    </w:p>
    <w:p w14:paraId="43C1AC5E" w14:textId="16464EFD" w:rsidR="008C5F5B" w:rsidRPr="00386862" w:rsidRDefault="008C5F5B" w:rsidP="00471218">
      <w:pPr>
        <w:pStyle w:val="FEDIAF1"/>
      </w:pPr>
      <w:bookmarkStart w:id="8" w:name="_Toc532390587"/>
      <w:r w:rsidRPr="00386862">
        <w:t xml:space="preserve">Regulation </w:t>
      </w:r>
      <w:hyperlink r:id="rId16" w:history="1">
        <w:r w:rsidRPr="00386862">
          <w:rPr>
            <w:rStyle w:val="Hyperlink"/>
          </w:rPr>
          <w:t>(EC) No 1829/2003</w:t>
        </w:r>
      </w:hyperlink>
      <w:r w:rsidRPr="00386862">
        <w:t xml:space="preserve"> on genetically modified food and feed</w:t>
      </w:r>
      <w:bookmarkEnd w:id="8"/>
    </w:p>
    <w:p w14:paraId="77FE77AC" w14:textId="77777777" w:rsidR="008C5F5B" w:rsidRPr="005109FA" w:rsidRDefault="008C5F5B" w:rsidP="00471218">
      <w:pPr>
        <w:keepLines/>
        <w:numPr>
          <w:ilvl w:val="0"/>
          <w:numId w:val="4"/>
        </w:numPr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 xml:space="preserve">Lays down Community procedures for the authorisation and supervision of </w:t>
      </w:r>
      <w:r w:rsidRPr="007B7146">
        <w:rPr>
          <w:rFonts w:ascii="Source Sans Pro" w:hAnsi="Source Sans Pro"/>
          <w:color w:val="auto"/>
        </w:rPr>
        <w:t>genetically modified food and feed</w:t>
      </w:r>
      <w:r w:rsidRPr="005109FA">
        <w:rPr>
          <w:rFonts w:ascii="Source Sans Pro" w:hAnsi="Source Sans Pro"/>
          <w:color w:val="auto"/>
        </w:rPr>
        <w:t xml:space="preserve"> (including </w:t>
      </w:r>
      <w:r w:rsidRPr="007B7146">
        <w:rPr>
          <w:rFonts w:ascii="Source Sans Pro" w:hAnsi="Source Sans Pro"/>
          <w:color w:val="auto"/>
        </w:rPr>
        <w:t>pet food</w:t>
      </w:r>
      <w:r w:rsidRPr="005109FA">
        <w:rPr>
          <w:rFonts w:ascii="Source Sans Pro" w:hAnsi="Source Sans Pro"/>
          <w:color w:val="auto"/>
        </w:rPr>
        <w:t>).</w:t>
      </w:r>
    </w:p>
    <w:p w14:paraId="78420667" w14:textId="77777777" w:rsidR="008C5F5B" w:rsidRPr="005109FA" w:rsidRDefault="008C5F5B" w:rsidP="00471218">
      <w:pPr>
        <w:keepLines/>
        <w:numPr>
          <w:ilvl w:val="0"/>
          <w:numId w:val="4"/>
        </w:numPr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 xml:space="preserve">Lays down provisions for the labelling of </w:t>
      </w:r>
      <w:r w:rsidRPr="007B7146">
        <w:rPr>
          <w:rFonts w:ascii="Source Sans Pro" w:hAnsi="Source Sans Pro"/>
          <w:color w:val="auto"/>
        </w:rPr>
        <w:t>genetically modified food and feed.</w:t>
      </w:r>
    </w:p>
    <w:p w14:paraId="17FCA69D" w14:textId="77777777" w:rsidR="008C5F5B" w:rsidRPr="007B7146" w:rsidRDefault="008C5F5B" w:rsidP="00471218">
      <w:pPr>
        <w:keepLines/>
        <w:numPr>
          <w:ilvl w:val="0"/>
          <w:numId w:val="4"/>
        </w:numPr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>Covers</w:t>
      </w:r>
      <w:r w:rsidRPr="007B7146">
        <w:rPr>
          <w:rFonts w:ascii="Source Sans Pro" w:hAnsi="Source Sans Pro"/>
          <w:color w:val="auto"/>
        </w:rPr>
        <w:t xml:space="preserve"> all GMO derivatives, including those which have no trace of DNA or genetically modified proteins.</w:t>
      </w:r>
    </w:p>
    <w:p w14:paraId="52909EFD" w14:textId="77777777" w:rsidR="008C5F5B" w:rsidRPr="005109FA" w:rsidRDefault="008C5F5B" w:rsidP="00471218">
      <w:pPr>
        <w:keepLines/>
        <w:numPr>
          <w:ilvl w:val="0"/>
          <w:numId w:val="4"/>
        </w:numPr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 xml:space="preserve">Applies to three types of products: </w:t>
      </w:r>
      <w:r w:rsidRPr="007B7146">
        <w:rPr>
          <w:rFonts w:ascii="Source Sans Pro" w:hAnsi="Source Sans Pro"/>
          <w:color w:val="auto"/>
        </w:rPr>
        <w:t>GMOs</w:t>
      </w:r>
      <w:r w:rsidRPr="005109FA">
        <w:rPr>
          <w:rFonts w:ascii="Source Sans Pro" w:hAnsi="Source Sans Pro"/>
          <w:color w:val="auto"/>
        </w:rPr>
        <w:t xml:space="preserve"> for food and feed use; food and feed containing   </w:t>
      </w:r>
    </w:p>
    <w:p w14:paraId="11303478" w14:textId="77777777" w:rsidR="008C5F5B" w:rsidRPr="007B7146" w:rsidRDefault="008C5F5B" w:rsidP="00471218">
      <w:pPr>
        <w:keepLines/>
        <w:numPr>
          <w:ilvl w:val="0"/>
          <w:numId w:val="4"/>
        </w:numPr>
        <w:jc w:val="both"/>
        <w:rPr>
          <w:rFonts w:ascii="Source Sans Pro" w:hAnsi="Source Sans Pro"/>
          <w:color w:val="auto"/>
        </w:rPr>
      </w:pPr>
      <w:r w:rsidRPr="007B7146">
        <w:rPr>
          <w:rFonts w:ascii="Source Sans Pro" w:hAnsi="Source Sans Pro"/>
          <w:color w:val="auto"/>
        </w:rPr>
        <w:t>GMOs; food and feed produced from or containing feed materials produced from GMOs.</w:t>
      </w:r>
    </w:p>
    <w:p w14:paraId="015989EF" w14:textId="77777777" w:rsidR="008C5F5B" w:rsidRPr="007B7146" w:rsidRDefault="008C5F5B" w:rsidP="00471218">
      <w:pPr>
        <w:keepLines/>
        <w:numPr>
          <w:ilvl w:val="0"/>
          <w:numId w:val="4"/>
        </w:numPr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 xml:space="preserve">From its scope excludes </w:t>
      </w:r>
      <w:r w:rsidRPr="007B7146">
        <w:rPr>
          <w:rFonts w:ascii="Source Sans Pro" w:hAnsi="Source Sans Pro"/>
          <w:color w:val="auto"/>
        </w:rPr>
        <w:t>products obtained using a genetically modified processing aid.</w:t>
      </w:r>
    </w:p>
    <w:p w14:paraId="630D3AFD" w14:textId="77777777" w:rsidR="008C5F5B" w:rsidRPr="007B7146" w:rsidRDefault="008C5F5B" w:rsidP="00471218">
      <w:pPr>
        <w:keepLines/>
        <w:numPr>
          <w:ilvl w:val="0"/>
          <w:numId w:val="4"/>
        </w:numPr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>Provides that t</w:t>
      </w:r>
      <w:r w:rsidRPr="007B7146">
        <w:rPr>
          <w:rFonts w:ascii="Source Sans Pro" w:hAnsi="Source Sans Pro"/>
          <w:color w:val="auto"/>
        </w:rPr>
        <w:t>he labeling requirements do not apply to feed containing material which contains, consist of or is produced from GMOs in a proportion no higher than 0.9 per cent of the feed and of each feed of which it is composed, provided that this presence is adventitious or technically unavoidable.</w:t>
      </w:r>
    </w:p>
    <w:p w14:paraId="0D9CD95A" w14:textId="66117FEF" w:rsidR="008C5F5B" w:rsidRPr="005109FA" w:rsidRDefault="008C5F5B" w:rsidP="00471218">
      <w:pPr>
        <w:keepLines/>
        <w:numPr>
          <w:ilvl w:val="0"/>
          <w:numId w:val="4"/>
        </w:numPr>
        <w:jc w:val="both"/>
        <w:rPr>
          <w:rFonts w:ascii="Source Sans Pro" w:hAnsi="Source Sans Pro"/>
          <w:color w:val="auto"/>
          <w:lang w:val="en"/>
        </w:rPr>
      </w:pPr>
      <w:r w:rsidRPr="007B7146">
        <w:rPr>
          <w:rFonts w:ascii="Source Sans Pro" w:hAnsi="Source Sans Pro"/>
          <w:color w:val="auto"/>
        </w:rPr>
        <w:t>Paragraph 3 provides that in order to establish that the presence of this material is adventitious and technically unavoidable; operators must be in position to supply evidence</w:t>
      </w:r>
      <w:r w:rsidRPr="005109FA">
        <w:rPr>
          <w:rFonts w:ascii="Source Sans Pro" w:hAnsi="Source Sans Pro"/>
          <w:color w:val="auto"/>
          <w:lang w:val="en"/>
        </w:rPr>
        <w:t xml:space="preserve"> to satisfy the competent </w:t>
      </w:r>
      <w:r w:rsidR="00686E32">
        <w:rPr>
          <w:rFonts w:ascii="Source Sans Pro" w:hAnsi="Source Sans Pro"/>
          <w:color w:val="auto"/>
          <w:lang w:val="en"/>
        </w:rPr>
        <w:t>authority</w:t>
      </w:r>
      <w:r w:rsidRPr="005109FA">
        <w:rPr>
          <w:rFonts w:ascii="Source Sans Pro" w:hAnsi="Source Sans Pro"/>
          <w:color w:val="auto"/>
          <w:lang w:val="en"/>
        </w:rPr>
        <w:t xml:space="preserve"> that they have taken appropriate steps to avoid the presence of such material.</w:t>
      </w:r>
    </w:p>
    <w:p w14:paraId="6DC4698A" w14:textId="2623612F" w:rsidR="008C5F5B" w:rsidRDefault="008C5F5B" w:rsidP="00471218">
      <w:pPr>
        <w:keepLines/>
        <w:jc w:val="both"/>
        <w:rPr>
          <w:rFonts w:asciiTheme="minorHAnsi" w:hAnsiTheme="minorHAnsi"/>
          <w:b/>
        </w:rPr>
      </w:pPr>
    </w:p>
    <w:p w14:paraId="5391EC18" w14:textId="10D54C49" w:rsidR="008C5F5B" w:rsidRPr="003749D8" w:rsidRDefault="008C5F5B" w:rsidP="00471218">
      <w:pPr>
        <w:pStyle w:val="FEDIAF1"/>
      </w:pPr>
      <w:bookmarkStart w:id="9" w:name="_Toc532390588"/>
      <w:r w:rsidRPr="003749D8">
        <w:t xml:space="preserve">Regulation </w:t>
      </w:r>
      <w:hyperlink r:id="rId17" w:history="1">
        <w:r w:rsidRPr="00386862">
          <w:rPr>
            <w:rStyle w:val="Hyperlink"/>
          </w:rPr>
          <w:t>(EC) No 1830/2003</w:t>
        </w:r>
      </w:hyperlink>
      <w:r w:rsidRPr="003749D8">
        <w:t xml:space="preserve"> on the </w:t>
      </w:r>
      <w:r w:rsidRPr="00686E32">
        <w:t>traceability</w:t>
      </w:r>
      <w:r w:rsidRPr="003749D8">
        <w:t xml:space="preserve"> and labelling of </w:t>
      </w:r>
      <w:r w:rsidRPr="00686E32">
        <w:t xml:space="preserve">genetically modified organisms </w:t>
      </w:r>
      <w:r w:rsidRPr="003749D8">
        <w:t xml:space="preserve">and the </w:t>
      </w:r>
      <w:r w:rsidRPr="00686E32">
        <w:t>traceability</w:t>
      </w:r>
      <w:r w:rsidRPr="003749D8">
        <w:t xml:space="preserve"> of food and feed products produced from </w:t>
      </w:r>
      <w:r w:rsidRPr="00686E32">
        <w:t>genetically modified organisms</w:t>
      </w:r>
      <w:bookmarkEnd w:id="9"/>
    </w:p>
    <w:p w14:paraId="201B3A19" w14:textId="77777777" w:rsidR="008C5F5B" w:rsidRPr="005109FA" w:rsidRDefault="008C5F5B" w:rsidP="00471218">
      <w:pPr>
        <w:keepLines/>
        <w:numPr>
          <w:ilvl w:val="0"/>
          <w:numId w:val="5"/>
        </w:numPr>
        <w:shd w:val="clear" w:color="auto" w:fill="FFFFFF"/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 xml:space="preserve">Provides a framework for the </w:t>
      </w:r>
      <w:r w:rsidRPr="00686E32">
        <w:rPr>
          <w:rFonts w:ascii="Source Sans Pro" w:hAnsi="Source Sans Pro"/>
          <w:color w:val="auto"/>
        </w:rPr>
        <w:t>traceability</w:t>
      </w:r>
      <w:r w:rsidRPr="005109FA">
        <w:rPr>
          <w:rFonts w:ascii="Source Sans Pro" w:hAnsi="Source Sans Pro"/>
          <w:color w:val="auto"/>
        </w:rPr>
        <w:t xml:space="preserve"> of feed and food </w:t>
      </w:r>
      <w:r w:rsidRPr="00686E32">
        <w:rPr>
          <w:rFonts w:ascii="Source Sans Pro" w:hAnsi="Source Sans Pro"/>
          <w:color w:val="auto"/>
        </w:rPr>
        <w:t>produced from GMOs</w:t>
      </w:r>
      <w:r w:rsidRPr="005109FA">
        <w:rPr>
          <w:rFonts w:ascii="Source Sans Pro" w:hAnsi="Source Sans Pro"/>
          <w:color w:val="auto"/>
        </w:rPr>
        <w:t>.</w:t>
      </w:r>
    </w:p>
    <w:p w14:paraId="4F90A1B4" w14:textId="77777777" w:rsidR="008C5F5B" w:rsidRPr="00686E32" w:rsidRDefault="008C5F5B" w:rsidP="00471218">
      <w:pPr>
        <w:keepLines/>
        <w:numPr>
          <w:ilvl w:val="0"/>
          <w:numId w:val="5"/>
        </w:numPr>
        <w:shd w:val="clear" w:color="auto" w:fill="FFFFFF"/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 xml:space="preserve">Facilitates accurate labelling of feed products and to monitor the implementation of the appropriate </w:t>
      </w:r>
      <w:r w:rsidRPr="00686E32">
        <w:rPr>
          <w:rFonts w:ascii="Source Sans Pro" w:hAnsi="Source Sans Pro"/>
          <w:color w:val="auto"/>
        </w:rPr>
        <w:t>risk</w:t>
      </w:r>
      <w:r w:rsidRPr="005109FA">
        <w:rPr>
          <w:rFonts w:ascii="Source Sans Pro" w:hAnsi="Source Sans Pro"/>
          <w:color w:val="auto"/>
        </w:rPr>
        <w:t xml:space="preserve"> </w:t>
      </w:r>
      <w:r w:rsidRPr="00686E32">
        <w:rPr>
          <w:rFonts w:ascii="Source Sans Pro" w:hAnsi="Source Sans Pro"/>
          <w:color w:val="auto"/>
        </w:rPr>
        <w:t>management</w:t>
      </w:r>
      <w:r w:rsidRPr="005109FA">
        <w:rPr>
          <w:rFonts w:ascii="Source Sans Pro" w:hAnsi="Source Sans Pro"/>
          <w:color w:val="auto"/>
        </w:rPr>
        <w:t>.</w:t>
      </w:r>
    </w:p>
    <w:p w14:paraId="7C898BB5" w14:textId="77777777" w:rsidR="008C5F5B" w:rsidRDefault="008C5F5B" w:rsidP="00471218">
      <w:pPr>
        <w:keepLines/>
        <w:jc w:val="both"/>
        <w:rPr>
          <w:rFonts w:asciiTheme="minorHAnsi" w:hAnsiTheme="minorHAnsi"/>
          <w:b/>
        </w:rPr>
      </w:pPr>
    </w:p>
    <w:p w14:paraId="053CDBD9" w14:textId="7D9D1B72" w:rsidR="00667095" w:rsidRPr="003749D8" w:rsidRDefault="00667095" w:rsidP="00471218">
      <w:pPr>
        <w:pStyle w:val="FEDIAF1"/>
      </w:pPr>
      <w:bookmarkStart w:id="10" w:name="_Toc532390589"/>
      <w:r w:rsidRPr="003749D8">
        <w:t xml:space="preserve">Regulation </w:t>
      </w:r>
      <w:hyperlink r:id="rId18" w:history="1">
        <w:r w:rsidRPr="00386862">
          <w:rPr>
            <w:rStyle w:val="Hyperlink"/>
          </w:rPr>
          <w:t>(EC) No 1831/2003</w:t>
        </w:r>
      </w:hyperlink>
      <w:r w:rsidRPr="003749D8">
        <w:t xml:space="preserve"> concerning </w:t>
      </w:r>
      <w:r w:rsidRPr="00686E32">
        <w:t xml:space="preserve">additives </w:t>
      </w:r>
      <w:r w:rsidRPr="003749D8">
        <w:t>in animal nutrition</w:t>
      </w:r>
      <w:bookmarkEnd w:id="10"/>
      <w:r w:rsidRPr="003749D8">
        <w:t xml:space="preserve"> </w:t>
      </w:r>
    </w:p>
    <w:p w14:paraId="2C5A8894" w14:textId="77777777" w:rsidR="005F2579" w:rsidRDefault="005F2579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Requirements for authorisation of feed additives </w:t>
      </w:r>
    </w:p>
    <w:p w14:paraId="23049414" w14:textId="12C9DAA0" w:rsidR="00667095" w:rsidRPr="005F2579" w:rsidRDefault="005F2579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F2579">
        <w:rPr>
          <w:rFonts w:ascii="Source Sans Pro" w:hAnsi="Source Sans Pro"/>
        </w:rPr>
        <w:t>Definitions of categories and functional groups of feed additives</w:t>
      </w:r>
      <w:r w:rsidR="00667095" w:rsidRPr="005F2579">
        <w:rPr>
          <w:rFonts w:ascii="Source Sans Pro" w:hAnsi="Source Sans Pro"/>
        </w:rPr>
        <w:t>.</w:t>
      </w:r>
    </w:p>
    <w:p w14:paraId="01B17672" w14:textId="77777777" w:rsidR="00667095" w:rsidRPr="003749D8" w:rsidRDefault="00667095" w:rsidP="00471218">
      <w:pPr>
        <w:keepLines/>
        <w:jc w:val="both"/>
        <w:rPr>
          <w:rFonts w:asciiTheme="minorHAnsi" w:hAnsiTheme="minorHAnsi"/>
        </w:rPr>
      </w:pPr>
    </w:p>
    <w:p w14:paraId="1019A937" w14:textId="6A97EE43" w:rsidR="00667095" w:rsidRPr="003749D8" w:rsidRDefault="00667095" w:rsidP="00471218">
      <w:pPr>
        <w:pStyle w:val="FEDIAF1"/>
      </w:pPr>
      <w:bookmarkStart w:id="11" w:name="_Toc532390590"/>
      <w:r w:rsidRPr="003749D8">
        <w:lastRenderedPageBreak/>
        <w:t xml:space="preserve">Directive </w:t>
      </w:r>
      <w:hyperlink r:id="rId19" w:history="1">
        <w:r w:rsidRPr="00386862">
          <w:rPr>
            <w:rStyle w:val="Hyperlink"/>
          </w:rPr>
          <w:t>2004/10/EC</w:t>
        </w:r>
      </w:hyperlink>
      <w:r w:rsidRPr="003749D8">
        <w:t xml:space="preserve"> on the principles of good laboratory practice and the </w:t>
      </w:r>
      <w:r w:rsidRPr="00686E32">
        <w:t>verification</w:t>
      </w:r>
      <w:r w:rsidRPr="003749D8">
        <w:t xml:space="preserve"> of their applications for tests on chemical substances</w:t>
      </w:r>
      <w:bookmarkEnd w:id="11"/>
    </w:p>
    <w:p w14:paraId="437D667E" w14:textId="77777777" w:rsidR="00667095" w:rsidRPr="005109FA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  <w:color w:val="FF0000"/>
        </w:rPr>
        <w:t xml:space="preserve"> </w:t>
      </w:r>
      <w:r w:rsidRPr="005109FA">
        <w:rPr>
          <w:rFonts w:ascii="Source Sans Pro" w:hAnsi="Source Sans Pro"/>
        </w:rPr>
        <w:t xml:space="preserve">Laboratories carrying out tests on chemical products in accordance with Directive </w:t>
      </w:r>
    </w:p>
    <w:p w14:paraId="3CD1D381" w14:textId="77777777" w:rsidR="00667095" w:rsidRPr="005109FA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>67/548/EEC shall comply with the OECD Principles of Good Laboratory Practice as laid down in Annex I.</w:t>
      </w:r>
    </w:p>
    <w:p w14:paraId="58ABCCA3" w14:textId="77777777" w:rsidR="00667095" w:rsidRPr="005109FA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>Member States shall make inspections and study checks in accordance with the GLP principles of OECD as laid down in Annex I.</w:t>
      </w:r>
    </w:p>
    <w:p w14:paraId="51D65BB6" w14:textId="77777777" w:rsidR="00667095" w:rsidRPr="005109FA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OECD standards, described in Section I, apply to the non-clinical safety testing of test items contained e.g. in veterinary drugs, food and feed </w:t>
      </w:r>
      <w:r w:rsidRPr="00686E32">
        <w:rPr>
          <w:rFonts w:ascii="Source Sans Pro" w:hAnsi="Source Sans Pro"/>
        </w:rPr>
        <w:t xml:space="preserve">additives </w:t>
      </w:r>
      <w:r w:rsidRPr="005109FA">
        <w:rPr>
          <w:rFonts w:ascii="Source Sans Pro" w:hAnsi="Source Sans Pro"/>
        </w:rPr>
        <w:t>and industrial chemicals.</w:t>
      </w:r>
    </w:p>
    <w:p w14:paraId="27892E6F" w14:textId="77777777" w:rsidR="00667095" w:rsidRPr="005109FA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These principles of GLP apply to all non-clinical health and environmental safety studies required by regulation for the purpose of registering food and feed </w:t>
      </w:r>
      <w:r w:rsidRPr="00686E32">
        <w:rPr>
          <w:rFonts w:ascii="Source Sans Pro" w:hAnsi="Source Sans Pro"/>
        </w:rPr>
        <w:t xml:space="preserve">additives </w:t>
      </w:r>
      <w:r w:rsidRPr="005109FA">
        <w:rPr>
          <w:rFonts w:ascii="Source Sans Pro" w:hAnsi="Source Sans Pro"/>
        </w:rPr>
        <w:t>and similar products, and for the regulation of industrial chemicals, unless exempted by national legislation.</w:t>
      </w:r>
    </w:p>
    <w:p w14:paraId="54C71F95" w14:textId="77777777" w:rsidR="00667095" w:rsidRPr="003749D8" w:rsidRDefault="00667095" w:rsidP="00471218">
      <w:pPr>
        <w:keepLines/>
        <w:jc w:val="both"/>
        <w:rPr>
          <w:rFonts w:asciiTheme="minorHAnsi" w:hAnsiTheme="minorHAnsi"/>
        </w:rPr>
      </w:pPr>
    </w:p>
    <w:p w14:paraId="76136700" w14:textId="33612104" w:rsidR="00667095" w:rsidRPr="003749D8" w:rsidRDefault="00667095" w:rsidP="00471218">
      <w:pPr>
        <w:pStyle w:val="FEDIAF1"/>
      </w:pPr>
      <w:bookmarkStart w:id="12" w:name="_Toc532390591"/>
      <w:r w:rsidRPr="003749D8">
        <w:t xml:space="preserve">Regulation </w:t>
      </w:r>
      <w:hyperlink r:id="rId20" w:history="1">
        <w:r w:rsidRPr="00B70B56">
          <w:rPr>
            <w:rStyle w:val="Hyperlink"/>
          </w:rPr>
          <w:t>(EC) No 852/2004</w:t>
        </w:r>
      </w:hyperlink>
      <w:r w:rsidRPr="003749D8">
        <w:t xml:space="preserve"> on the hygiene of foodstuffs</w:t>
      </w:r>
      <w:bookmarkEnd w:id="12"/>
    </w:p>
    <w:p w14:paraId="61635CF7" w14:textId="77777777" w:rsidR="00667095" w:rsidRPr="005109FA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This regulation does not apply to </w:t>
      </w:r>
      <w:r w:rsidRPr="00686E32">
        <w:rPr>
          <w:rFonts w:ascii="Source Sans Pro" w:hAnsi="Source Sans Pro"/>
        </w:rPr>
        <w:t>pet food</w:t>
      </w:r>
      <w:r w:rsidRPr="005109FA">
        <w:rPr>
          <w:rFonts w:ascii="Source Sans Pro" w:hAnsi="Source Sans Pro"/>
        </w:rPr>
        <w:t xml:space="preserve">, as </w:t>
      </w:r>
      <w:r w:rsidRPr="00686E32">
        <w:rPr>
          <w:rFonts w:ascii="Source Sans Pro" w:hAnsi="Source Sans Pro"/>
        </w:rPr>
        <w:t>pet food</w:t>
      </w:r>
      <w:r w:rsidRPr="005109FA">
        <w:rPr>
          <w:rFonts w:ascii="Source Sans Pro" w:hAnsi="Source Sans Pro"/>
        </w:rPr>
        <w:t xml:space="preserve"> is in the scope of Regulation (EC) No 183/2005 (feed hygiene).</w:t>
      </w:r>
    </w:p>
    <w:p w14:paraId="3BF25436" w14:textId="3059185F" w:rsidR="00667095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>It is included here for definitions in the glossary.</w:t>
      </w:r>
    </w:p>
    <w:p w14:paraId="28296BA5" w14:textId="77777777" w:rsidR="00334EA9" w:rsidRDefault="00334EA9" w:rsidP="00471218">
      <w:pPr>
        <w:keepLines/>
        <w:jc w:val="both"/>
        <w:rPr>
          <w:rFonts w:ascii="Source Sans Pro" w:hAnsi="Source Sans Pro"/>
        </w:rPr>
      </w:pPr>
    </w:p>
    <w:p w14:paraId="656822FC" w14:textId="64D4E00C" w:rsidR="009A3647" w:rsidRDefault="009A3647" w:rsidP="00471218">
      <w:pPr>
        <w:pStyle w:val="FEDIAF1"/>
      </w:pPr>
      <w:bookmarkStart w:id="13" w:name="_Toc532390592"/>
      <w:r w:rsidRPr="009A3647">
        <w:t>R</w:t>
      </w:r>
      <w:r w:rsidR="00334EA9">
        <w:t xml:space="preserve">egulation </w:t>
      </w:r>
      <w:hyperlink r:id="rId21" w:history="1">
        <w:r w:rsidR="00334EA9" w:rsidRPr="00334EA9">
          <w:rPr>
            <w:rStyle w:val="Hyperlink"/>
          </w:rPr>
          <w:t>(EC) No</w:t>
        </w:r>
        <w:r w:rsidRPr="00334EA9">
          <w:rPr>
            <w:rStyle w:val="Hyperlink"/>
          </w:rPr>
          <w:t xml:space="preserve"> 882/2004</w:t>
        </w:r>
      </w:hyperlink>
      <w:r w:rsidR="00334EA9">
        <w:t xml:space="preserve"> </w:t>
      </w:r>
      <w:r w:rsidR="00334EA9" w:rsidRPr="00334EA9">
        <w:t xml:space="preserve">on official controls performed to ensure the verification of compliance with feed and food law, animal health and animal welfare </w:t>
      </w:r>
      <w:r w:rsidR="00334EA9">
        <w:t>rules</w:t>
      </w:r>
      <w:bookmarkEnd w:id="13"/>
    </w:p>
    <w:p w14:paraId="5A956558" w14:textId="21A354A8" w:rsidR="00667095" w:rsidRDefault="005F2579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F2579">
        <w:rPr>
          <w:rFonts w:ascii="Source Sans Pro" w:hAnsi="Source Sans Pro"/>
        </w:rPr>
        <w:t xml:space="preserve">Laying down Member States requirements for official controls </w:t>
      </w:r>
    </w:p>
    <w:p w14:paraId="11F381BB" w14:textId="7683FC4A" w:rsidR="005F2579" w:rsidRPr="005F2579" w:rsidRDefault="00CE303C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Note:  </w:t>
      </w:r>
      <w:hyperlink r:id="rId22" w:history="1">
        <w:r w:rsidRPr="00CE303C">
          <w:rPr>
            <w:rStyle w:val="Hyperlink"/>
            <w:rFonts w:ascii="Source Sans Pro" w:hAnsi="Source Sans Pro"/>
          </w:rPr>
          <w:t>Regulation (EU) 2017/625</w:t>
        </w:r>
      </w:hyperlink>
      <w:r>
        <w:rPr>
          <w:rFonts w:ascii="Source Sans Pro" w:hAnsi="Source Sans Pro"/>
        </w:rPr>
        <w:t xml:space="preserve"> </w:t>
      </w:r>
      <w:r w:rsidRPr="00CE303C">
        <w:rPr>
          <w:rFonts w:ascii="Source Sans Pro" w:hAnsi="Source Sans Pro"/>
        </w:rPr>
        <w:t>on official controls and other official activities performed to ensure the application of food and feed law, rules on animal health and welfare, plant health and plant protection products</w:t>
      </w:r>
      <w:r>
        <w:rPr>
          <w:rFonts w:ascii="Source Sans Pro" w:hAnsi="Source Sans Pro"/>
        </w:rPr>
        <w:t xml:space="preserve"> will gradually replace Reg 882/2004</w:t>
      </w:r>
    </w:p>
    <w:p w14:paraId="7889C97A" w14:textId="77777777" w:rsidR="00334EA9" w:rsidRPr="003749D8" w:rsidRDefault="00334EA9" w:rsidP="00471218">
      <w:pPr>
        <w:pStyle w:val="Header"/>
        <w:keepLines/>
        <w:jc w:val="both"/>
        <w:rPr>
          <w:rFonts w:asciiTheme="minorHAnsi" w:hAnsiTheme="minorHAnsi"/>
          <w:b/>
        </w:rPr>
      </w:pPr>
    </w:p>
    <w:p w14:paraId="305DD6FB" w14:textId="562BC952" w:rsidR="00667095" w:rsidRPr="003749D8" w:rsidRDefault="00667095" w:rsidP="00471218">
      <w:pPr>
        <w:pStyle w:val="FEDIAF1"/>
      </w:pPr>
      <w:bookmarkStart w:id="14" w:name="_Toc532390593"/>
      <w:r w:rsidRPr="003749D8">
        <w:t xml:space="preserve">Regulation </w:t>
      </w:r>
      <w:hyperlink r:id="rId23" w:history="1">
        <w:r w:rsidRPr="00B70B56">
          <w:rPr>
            <w:rStyle w:val="Hyperlink"/>
          </w:rPr>
          <w:t>(EC) No 183/2005</w:t>
        </w:r>
      </w:hyperlink>
      <w:r w:rsidRPr="003749D8">
        <w:t xml:space="preserve"> laying down requirements for feed hygiene</w:t>
      </w:r>
      <w:bookmarkEnd w:id="14"/>
      <w:r w:rsidRPr="003749D8">
        <w:t xml:space="preserve"> </w:t>
      </w:r>
    </w:p>
    <w:p w14:paraId="1B0D383F" w14:textId="77777777" w:rsidR="00667095" w:rsidRPr="005109FA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>Provides the primary responsibility of the feed business operator for feed safety.</w:t>
      </w:r>
    </w:p>
    <w:p w14:paraId="6533934A" w14:textId="77777777" w:rsidR="00667095" w:rsidRPr="005109FA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Registration of all establishments manufacturing </w:t>
      </w:r>
      <w:r w:rsidRPr="00686E32">
        <w:rPr>
          <w:rFonts w:ascii="Source Sans Pro" w:hAnsi="Source Sans Pro"/>
        </w:rPr>
        <w:t>pet food</w:t>
      </w:r>
      <w:r w:rsidRPr="005109FA">
        <w:rPr>
          <w:rFonts w:ascii="Source Sans Pro" w:hAnsi="Source Sans Pro"/>
        </w:rPr>
        <w:t>.</w:t>
      </w:r>
    </w:p>
    <w:p w14:paraId="06A665E3" w14:textId="77777777" w:rsidR="00667095" w:rsidRPr="005109FA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Approval of establishments (only feed business operators producing certain </w:t>
      </w:r>
      <w:r w:rsidRPr="00686E32">
        <w:rPr>
          <w:rFonts w:ascii="Source Sans Pro" w:hAnsi="Source Sans Pro"/>
        </w:rPr>
        <w:t>additives</w:t>
      </w:r>
      <w:r w:rsidRPr="005109FA">
        <w:rPr>
          <w:rFonts w:ascii="Source Sans Pro" w:hAnsi="Source Sans Pro"/>
        </w:rPr>
        <w:t xml:space="preserve">).  </w:t>
      </w:r>
    </w:p>
    <w:p w14:paraId="389F6D70" w14:textId="77777777" w:rsidR="00667095" w:rsidRPr="005109FA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Minimum manufacturing conditions requirements with regards to facilities &amp; equipment, personnel, production, </w:t>
      </w:r>
      <w:r w:rsidRPr="00686E32">
        <w:rPr>
          <w:rFonts w:ascii="Source Sans Pro" w:hAnsi="Source Sans Pro"/>
        </w:rPr>
        <w:t>quality control</w:t>
      </w:r>
      <w:r w:rsidRPr="005109FA">
        <w:rPr>
          <w:rFonts w:ascii="Source Sans Pro" w:hAnsi="Source Sans Pro"/>
        </w:rPr>
        <w:t xml:space="preserve">, storage, and register, which must be fulfilled by the </w:t>
      </w:r>
      <w:r w:rsidRPr="00686E32">
        <w:rPr>
          <w:rFonts w:ascii="Source Sans Pro" w:hAnsi="Source Sans Pro"/>
        </w:rPr>
        <w:t>pet food</w:t>
      </w:r>
      <w:r w:rsidRPr="005109FA">
        <w:rPr>
          <w:rFonts w:ascii="Source Sans Pro" w:hAnsi="Source Sans Pro"/>
        </w:rPr>
        <w:t xml:space="preserve"> manufacturer.</w:t>
      </w:r>
    </w:p>
    <w:p w14:paraId="57362F76" w14:textId="77777777" w:rsidR="00667095" w:rsidRPr="005109FA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686E32">
        <w:rPr>
          <w:rFonts w:ascii="Source Sans Pro" w:hAnsi="Source Sans Pro"/>
        </w:rPr>
        <w:t xml:space="preserve">HACCP </w:t>
      </w:r>
      <w:r w:rsidRPr="005109FA">
        <w:rPr>
          <w:rFonts w:ascii="Source Sans Pro" w:hAnsi="Source Sans Pro"/>
        </w:rPr>
        <w:t xml:space="preserve">implementation is mandatory; permanent, written procedures shall be based on </w:t>
      </w:r>
      <w:r w:rsidRPr="00686E32">
        <w:rPr>
          <w:rFonts w:ascii="Source Sans Pro" w:hAnsi="Source Sans Pro"/>
        </w:rPr>
        <w:t xml:space="preserve">HACCP </w:t>
      </w:r>
      <w:r w:rsidRPr="005109FA">
        <w:rPr>
          <w:rFonts w:ascii="Source Sans Pro" w:hAnsi="Source Sans Pro"/>
        </w:rPr>
        <w:t>principles as mentioned in Article 6.</w:t>
      </w:r>
    </w:p>
    <w:p w14:paraId="54C7B089" w14:textId="77777777" w:rsidR="00667095" w:rsidRPr="005109FA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Conditions and arrangements ensuring full </w:t>
      </w:r>
      <w:r w:rsidRPr="00686E32">
        <w:rPr>
          <w:rFonts w:ascii="Source Sans Pro" w:hAnsi="Source Sans Pro"/>
        </w:rPr>
        <w:t>traceability</w:t>
      </w:r>
      <w:r w:rsidRPr="005109FA">
        <w:rPr>
          <w:rFonts w:ascii="Source Sans Pro" w:hAnsi="Source Sans Pro"/>
        </w:rPr>
        <w:t xml:space="preserve"> of feed materials and compound feed.</w:t>
      </w:r>
    </w:p>
    <w:p w14:paraId="0BCC5C7A" w14:textId="77777777" w:rsidR="00667095" w:rsidRPr="005109FA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Industry Guides are voluntary, they shall take into account the relevant codes of practice of the </w:t>
      </w:r>
      <w:r w:rsidRPr="00686E32">
        <w:rPr>
          <w:rFonts w:ascii="Source Sans Pro" w:hAnsi="Source Sans Pro"/>
        </w:rPr>
        <w:t>Codex Alimentarius</w:t>
      </w:r>
      <w:r w:rsidRPr="005109FA">
        <w:rPr>
          <w:rFonts w:ascii="Source Sans Pro" w:hAnsi="Source Sans Pro"/>
        </w:rPr>
        <w:t xml:space="preserve">; they are finally assessed by the Community and periodically reviewed; published in C series OF Official Journal of European </w:t>
      </w:r>
      <w:proofErr w:type="gramStart"/>
      <w:r w:rsidRPr="005109FA">
        <w:rPr>
          <w:rFonts w:ascii="Source Sans Pro" w:hAnsi="Source Sans Pro"/>
        </w:rPr>
        <w:t>Union;</w:t>
      </w:r>
      <w:proofErr w:type="gramEnd"/>
    </w:p>
    <w:p w14:paraId="3A046C98" w14:textId="7B851448" w:rsidR="00667095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Provides that the Rapid Alert System applies to feed animals not kept for food production including </w:t>
      </w:r>
      <w:r w:rsidRPr="00686E32">
        <w:rPr>
          <w:rFonts w:ascii="Source Sans Pro" w:hAnsi="Source Sans Pro"/>
        </w:rPr>
        <w:t>pet food</w:t>
      </w:r>
      <w:r w:rsidRPr="005109FA">
        <w:rPr>
          <w:rFonts w:ascii="Source Sans Pro" w:hAnsi="Source Sans Pro"/>
        </w:rPr>
        <w:t>.</w:t>
      </w:r>
    </w:p>
    <w:p w14:paraId="75A4B6D5" w14:textId="4B07029D" w:rsidR="009A3647" w:rsidRDefault="009A3647" w:rsidP="00471218">
      <w:pPr>
        <w:keepLines/>
        <w:jc w:val="both"/>
        <w:rPr>
          <w:rFonts w:asciiTheme="minorHAnsi" w:hAnsiTheme="minorHAnsi"/>
        </w:rPr>
      </w:pPr>
    </w:p>
    <w:p w14:paraId="66FC16FA" w14:textId="06DD86B2" w:rsidR="009A3647" w:rsidRDefault="00334EA9" w:rsidP="00471218">
      <w:pPr>
        <w:pStyle w:val="FEDIAF1"/>
      </w:pPr>
      <w:bookmarkStart w:id="15" w:name="_Toc532390594"/>
      <w:r w:rsidRPr="00334EA9">
        <w:t>D</w:t>
      </w:r>
      <w:r w:rsidR="009D2532">
        <w:t>irective</w:t>
      </w:r>
      <w:r w:rsidRPr="00334EA9">
        <w:t xml:space="preserve"> </w:t>
      </w:r>
      <w:hyperlink r:id="rId24" w:history="1">
        <w:r w:rsidRPr="009D2532">
          <w:rPr>
            <w:rStyle w:val="Hyperlink"/>
          </w:rPr>
          <w:t>2006/114</w:t>
        </w:r>
        <w:r w:rsidR="009D2532" w:rsidRPr="009D2532">
          <w:rPr>
            <w:rStyle w:val="Hyperlink"/>
          </w:rPr>
          <w:t>/EC</w:t>
        </w:r>
      </w:hyperlink>
      <w:r w:rsidR="009D2532">
        <w:t xml:space="preserve"> </w:t>
      </w:r>
      <w:r w:rsidRPr="00334EA9">
        <w:t>concerning misleading and comparative advertising</w:t>
      </w:r>
      <w:bookmarkEnd w:id="15"/>
    </w:p>
    <w:p w14:paraId="771E3904" w14:textId="047C49DC" w:rsidR="00334EA9" w:rsidRDefault="00CE303C" w:rsidP="00471218">
      <w:pPr>
        <w:keepLines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Laying down common rules applicable for avoiding misleading advertising </w:t>
      </w:r>
    </w:p>
    <w:p w14:paraId="2F2A3904" w14:textId="36039E1A" w:rsidR="00CE303C" w:rsidRDefault="00CE303C" w:rsidP="00471218">
      <w:pPr>
        <w:keepLines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Permitting comparative advertising and laying down the conditions </w:t>
      </w:r>
    </w:p>
    <w:p w14:paraId="18F052EF" w14:textId="77777777" w:rsidR="009D2532" w:rsidRDefault="009D2532" w:rsidP="00471218">
      <w:pPr>
        <w:keepLines/>
        <w:jc w:val="both"/>
        <w:rPr>
          <w:rFonts w:asciiTheme="minorHAnsi" w:hAnsiTheme="minorHAnsi"/>
        </w:rPr>
      </w:pPr>
    </w:p>
    <w:p w14:paraId="4EB99617" w14:textId="3EC5B37D" w:rsidR="00334EA9" w:rsidRDefault="00334EA9" w:rsidP="00471218">
      <w:pPr>
        <w:pStyle w:val="FEDIAF1"/>
      </w:pPr>
      <w:bookmarkStart w:id="16" w:name="_Toc532390595"/>
      <w:r w:rsidRPr="00334EA9">
        <w:t>R</w:t>
      </w:r>
      <w:r w:rsidR="009D2532">
        <w:t xml:space="preserve">egulation </w:t>
      </w:r>
      <w:hyperlink r:id="rId25" w:history="1">
        <w:r w:rsidR="009D2532" w:rsidRPr="009D2532">
          <w:rPr>
            <w:rStyle w:val="Hyperlink"/>
          </w:rPr>
          <w:t>(EC) No</w:t>
        </w:r>
        <w:r w:rsidRPr="009D2532">
          <w:rPr>
            <w:rStyle w:val="Hyperlink"/>
          </w:rPr>
          <w:t xml:space="preserve"> 834/2007</w:t>
        </w:r>
      </w:hyperlink>
      <w:r w:rsidR="009D2532">
        <w:t xml:space="preserve"> </w:t>
      </w:r>
      <w:r w:rsidRPr="00334EA9">
        <w:t>on organic production and labelling of organic products</w:t>
      </w:r>
      <w:bookmarkEnd w:id="16"/>
    </w:p>
    <w:p w14:paraId="4183A564" w14:textId="5247EC8B" w:rsidR="00CE303C" w:rsidRPr="00CE303C" w:rsidRDefault="00CE303C" w:rsidP="00471218">
      <w:pPr>
        <w:keepLines/>
        <w:numPr>
          <w:ilvl w:val="0"/>
          <w:numId w:val="6"/>
        </w:numPr>
        <w:jc w:val="both"/>
        <w:rPr>
          <w:rFonts w:asciiTheme="minorHAnsi" w:hAnsiTheme="minorHAnsi"/>
        </w:rPr>
      </w:pPr>
      <w:r w:rsidRPr="00CE303C">
        <w:rPr>
          <w:rFonts w:asciiTheme="minorHAnsi" w:hAnsiTheme="minorHAnsi"/>
        </w:rPr>
        <w:t xml:space="preserve">Laying down rules of organic production and labelling of food and feed </w:t>
      </w:r>
    </w:p>
    <w:p w14:paraId="2C4A7427" w14:textId="26A8C2EA" w:rsidR="00CE303C" w:rsidRPr="00CE303C" w:rsidRDefault="00CE303C" w:rsidP="00471218">
      <w:pPr>
        <w:keepLines/>
        <w:numPr>
          <w:ilvl w:val="0"/>
          <w:numId w:val="6"/>
        </w:numPr>
        <w:jc w:val="both"/>
        <w:rPr>
          <w:rFonts w:asciiTheme="minorHAnsi" w:hAnsiTheme="minorHAnsi"/>
        </w:rPr>
      </w:pPr>
      <w:r w:rsidRPr="00CE303C">
        <w:rPr>
          <w:rFonts w:asciiTheme="minorHAnsi" w:hAnsiTheme="minorHAnsi"/>
        </w:rPr>
        <w:lastRenderedPageBreak/>
        <w:t xml:space="preserve">Not applicable to pet food </w:t>
      </w:r>
    </w:p>
    <w:p w14:paraId="1990490F" w14:textId="77777777" w:rsidR="009D2532" w:rsidRPr="003749D8" w:rsidRDefault="009D2532" w:rsidP="00471218">
      <w:pPr>
        <w:pStyle w:val="Header"/>
        <w:keepLines/>
        <w:jc w:val="both"/>
        <w:rPr>
          <w:rFonts w:asciiTheme="minorHAnsi" w:hAnsiTheme="minorHAnsi"/>
          <w:color w:val="auto"/>
        </w:rPr>
      </w:pPr>
    </w:p>
    <w:p w14:paraId="2CC2F534" w14:textId="4BBFF120" w:rsidR="00667095" w:rsidRPr="003749D8" w:rsidRDefault="00667095" w:rsidP="00471218">
      <w:pPr>
        <w:pStyle w:val="FEDIAF1"/>
      </w:pPr>
      <w:bookmarkStart w:id="17" w:name="_Toc532390597"/>
      <w:r w:rsidRPr="003749D8">
        <w:t xml:space="preserve">Regulation </w:t>
      </w:r>
      <w:hyperlink r:id="rId26" w:history="1">
        <w:r w:rsidRPr="00B70B56">
          <w:rPr>
            <w:rStyle w:val="Hyperlink"/>
          </w:rPr>
          <w:t>(EC) No 429/2008</w:t>
        </w:r>
      </w:hyperlink>
      <w:r w:rsidRPr="003749D8">
        <w:t xml:space="preserve"> on detailed rules for the implementation of Regulation No 1831/2003 as regards the preparation and presentation of the applications and the assessment and the authorization of feed </w:t>
      </w:r>
      <w:r w:rsidRPr="00686E32">
        <w:t>additives</w:t>
      </w:r>
      <w:bookmarkEnd w:id="17"/>
    </w:p>
    <w:p w14:paraId="4E459FF6" w14:textId="77777777" w:rsidR="00667095" w:rsidRPr="005109FA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3749D8">
        <w:rPr>
          <w:rFonts w:asciiTheme="minorHAnsi" w:hAnsiTheme="minorHAnsi"/>
        </w:rPr>
        <w:t xml:space="preserve"> </w:t>
      </w:r>
      <w:r w:rsidRPr="005109FA">
        <w:rPr>
          <w:rFonts w:ascii="Source Sans Pro" w:hAnsi="Source Sans Pro"/>
        </w:rPr>
        <w:t xml:space="preserve">Provides very detailed information on how to prepare the application for the authorization of feed </w:t>
      </w:r>
      <w:r w:rsidRPr="00686E32">
        <w:rPr>
          <w:rFonts w:ascii="Source Sans Pro" w:hAnsi="Source Sans Pro"/>
        </w:rPr>
        <w:t xml:space="preserve">additives </w:t>
      </w:r>
      <w:r w:rsidRPr="005109FA">
        <w:rPr>
          <w:rFonts w:ascii="Source Sans Pro" w:hAnsi="Source Sans Pro"/>
        </w:rPr>
        <w:t xml:space="preserve">inter alia; the content and format of Application Form, Public Summary      and Scientific Summary of the dossier. </w:t>
      </w:r>
    </w:p>
    <w:p w14:paraId="60167290" w14:textId="77777777" w:rsidR="00667095" w:rsidRPr="005109FA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 Specifies requirements for studies on safety, efficacy, identity, characterization, conditions of use of the </w:t>
      </w:r>
      <w:r w:rsidRPr="00686E32">
        <w:rPr>
          <w:rFonts w:ascii="Source Sans Pro" w:hAnsi="Source Sans Pro"/>
        </w:rPr>
        <w:t xml:space="preserve">additive </w:t>
      </w:r>
      <w:r w:rsidRPr="005109FA">
        <w:rPr>
          <w:rFonts w:ascii="Source Sans Pro" w:hAnsi="Source Sans Pro"/>
        </w:rPr>
        <w:t xml:space="preserve">and post market </w:t>
      </w:r>
      <w:r w:rsidRPr="00686E32">
        <w:rPr>
          <w:rFonts w:ascii="Source Sans Pro" w:hAnsi="Source Sans Pro"/>
        </w:rPr>
        <w:t>monitoring</w:t>
      </w:r>
      <w:r w:rsidRPr="005109FA">
        <w:rPr>
          <w:rFonts w:ascii="Source Sans Pro" w:hAnsi="Source Sans Pro"/>
        </w:rPr>
        <w:t xml:space="preserve"> plan.</w:t>
      </w:r>
    </w:p>
    <w:p w14:paraId="5835E21E" w14:textId="77777777" w:rsidR="00667095" w:rsidRPr="005109FA" w:rsidRDefault="00667095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5109FA">
        <w:rPr>
          <w:rFonts w:ascii="Source Sans Pro" w:hAnsi="Source Sans Pro"/>
        </w:rPr>
        <w:t xml:space="preserve"> Describes preparatory requirements for various dossiers like for </w:t>
      </w:r>
      <w:r w:rsidRPr="00686E32">
        <w:rPr>
          <w:rFonts w:ascii="Source Sans Pro" w:hAnsi="Source Sans Pro"/>
        </w:rPr>
        <w:t xml:space="preserve">additives </w:t>
      </w:r>
      <w:r w:rsidRPr="005109FA">
        <w:rPr>
          <w:rFonts w:ascii="Source Sans Pro" w:hAnsi="Source Sans Pro"/>
        </w:rPr>
        <w:t xml:space="preserve">used in </w:t>
      </w:r>
      <w:r w:rsidRPr="00686E32">
        <w:rPr>
          <w:rFonts w:ascii="Source Sans Pro" w:hAnsi="Source Sans Pro"/>
        </w:rPr>
        <w:t>pet food</w:t>
      </w:r>
      <w:r w:rsidRPr="005109FA">
        <w:rPr>
          <w:rFonts w:ascii="Source Sans Pro" w:hAnsi="Source Sans Pro"/>
        </w:rPr>
        <w:t xml:space="preserve">   manufacturing and </w:t>
      </w:r>
      <w:r w:rsidRPr="00686E32">
        <w:rPr>
          <w:rFonts w:ascii="Source Sans Pro" w:hAnsi="Source Sans Pro"/>
        </w:rPr>
        <w:t xml:space="preserve">additives </w:t>
      </w:r>
      <w:r w:rsidRPr="005109FA">
        <w:rPr>
          <w:rFonts w:ascii="Source Sans Pro" w:hAnsi="Source Sans Pro"/>
        </w:rPr>
        <w:t>already authorized under Directive 70/524/EEC.</w:t>
      </w:r>
    </w:p>
    <w:p w14:paraId="5E5DC4D9" w14:textId="77777777" w:rsidR="00334EA9" w:rsidRDefault="00334EA9" w:rsidP="00471218">
      <w:pPr>
        <w:pStyle w:val="FEDIAF1"/>
      </w:pPr>
    </w:p>
    <w:p w14:paraId="3B762E81" w14:textId="3B2320F4" w:rsidR="0072612C" w:rsidRDefault="00E446D6" w:rsidP="00471218">
      <w:pPr>
        <w:pStyle w:val="FEDIAF1"/>
      </w:pPr>
      <w:bookmarkStart w:id="18" w:name="_Toc532390598"/>
      <w:r>
        <w:t xml:space="preserve">Directive </w:t>
      </w:r>
      <w:hyperlink r:id="rId27" w:history="1">
        <w:r w:rsidRPr="00E446D6">
          <w:rPr>
            <w:rStyle w:val="Hyperlink"/>
          </w:rPr>
          <w:t>2009/34/EC</w:t>
        </w:r>
      </w:hyperlink>
      <w:r>
        <w:t xml:space="preserve"> relating to common provisions for both measuring instruments and methods of metrological control</w:t>
      </w:r>
      <w:bookmarkEnd w:id="18"/>
    </w:p>
    <w:p w14:paraId="4DB40396" w14:textId="79EA3C15" w:rsidR="00CE303C" w:rsidRPr="00CE303C" w:rsidRDefault="00CE303C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CE303C">
        <w:rPr>
          <w:rFonts w:ascii="Source Sans Pro" w:hAnsi="Source Sans Pro"/>
        </w:rPr>
        <w:t xml:space="preserve">Laying down the conditions on measuring and metrological controls </w:t>
      </w:r>
    </w:p>
    <w:p w14:paraId="2A0FFD26" w14:textId="6D2137B9" w:rsidR="00CE303C" w:rsidRPr="00CE303C" w:rsidRDefault="00CE303C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CE303C">
        <w:rPr>
          <w:rFonts w:ascii="Source Sans Pro" w:hAnsi="Source Sans Pro"/>
        </w:rPr>
        <w:t xml:space="preserve">Defining the design to be used for the “e” mark </w:t>
      </w:r>
    </w:p>
    <w:p w14:paraId="329D242E" w14:textId="77777777" w:rsidR="00E446D6" w:rsidRDefault="00E446D6" w:rsidP="00471218">
      <w:pPr>
        <w:pStyle w:val="FEDIAF1"/>
      </w:pPr>
    </w:p>
    <w:p w14:paraId="15AD2525" w14:textId="03FA7C10" w:rsidR="00667095" w:rsidRPr="003749D8" w:rsidRDefault="00667095" w:rsidP="00471218">
      <w:pPr>
        <w:pStyle w:val="FEDIAF1"/>
      </w:pPr>
      <w:bookmarkStart w:id="19" w:name="_Toc532390599"/>
      <w:r w:rsidRPr="003749D8">
        <w:t xml:space="preserve">Regulation </w:t>
      </w:r>
      <w:hyperlink r:id="rId28" w:history="1">
        <w:r w:rsidRPr="005109FA">
          <w:rPr>
            <w:rStyle w:val="Hyperlink"/>
          </w:rPr>
          <w:t>(EC) No 152/2009</w:t>
        </w:r>
      </w:hyperlink>
      <w:r w:rsidRPr="003749D8">
        <w:t xml:space="preserve"> laying down the methods of sampling and analysis for the official control of feed.</w:t>
      </w:r>
      <w:bookmarkEnd w:id="19"/>
    </w:p>
    <w:p w14:paraId="2E76B5C3" w14:textId="77777777" w:rsidR="00667095" w:rsidRPr="005109FA" w:rsidRDefault="00667095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>Lays down the methods of sampling and analysis for the official control of feed.</w:t>
      </w:r>
    </w:p>
    <w:p w14:paraId="1B27D1F5" w14:textId="77777777" w:rsidR="00667095" w:rsidRPr="005109FA" w:rsidRDefault="00667095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 xml:space="preserve">Specifies method for sampling to determine of constituents, </w:t>
      </w:r>
      <w:r w:rsidRPr="00686E32">
        <w:rPr>
          <w:rFonts w:ascii="Source Sans Pro" w:hAnsi="Source Sans Pro"/>
          <w:color w:val="auto"/>
        </w:rPr>
        <w:t xml:space="preserve">additives </w:t>
      </w:r>
      <w:r w:rsidRPr="005109FA">
        <w:rPr>
          <w:rFonts w:ascii="Source Sans Pro" w:hAnsi="Source Sans Pro"/>
          <w:color w:val="auto"/>
        </w:rPr>
        <w:t xml:space="preserve">and </w:t>
      </w:r>
      <w:r w:rsidRPr="00686E32">
        <w:rPr>
          <w:rFonts w:ascii="Source Sans Pro" w:hAnsi="Source Sans Pro"/>
          <w:color w:val="auto"/>
        </w:rPr>
        <w:t>undesirable substances</w:t>
      </w:r>
      <w:r w:rsidRPr="005109FA">
        <w:rPr>
          <w:rFonts w:ascii="Source Sans Pro" w:hAnsi="Source Sans Pro"/>
          <w:color w:val="auto"/>
        </w:rPr>
        <w:t xml:space="preserve"> in Annex I.</w:t>
      </w:r>
    </w:p>
    <w:p w14:paraId="61AE6EDB" w14:textId="77777777" w:rsidR="00667095" w:rsidRPr="005109FA" w:rsidRDefault="00667095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 xml:space="preserve">Includes provisions relating to preparation of </w:t>
      </w:r>
      <w:r w:rsidRPr="00686E32">
        <w:rPr>
          <w:rFonts w:ascii="Source Sans Pro" w:hAnsi="Source Sans Pro"/>
          <w:color w:val="auto"/>
        </w:rPr>
        <w:t>samples</w:t>
      </w:r>
      <w:r w:rsidRPr="005109FA">
        <w:rPr>
          <w:rFonts w:ascii="Source Sans Pro" w:hAnsi="Source Sans Pro"/>
          <w:color w:val="auto"/>
        </w:rPr>
        <w:t>, reagents and apparatus used in methods of analysis in Annex II.</w:t>
      </w:r>
    </w:p>
    <w:p w14:paraId="7BDFB301" w14:textId="77777777" w:rsidR="00667095" w:rsidRPr="005109FA" w:rsidRDefault="00667095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>Provides information on analytical methods and expression of results in Annex III.</w:t>
      </w:r>
    </w:p>
    <w:p w14:paraId="4FE31956" w14:textId="77777777" w:rsidR="00667095" w:rsidRPr="005109FA" w:rsidRDefault="00667095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 xml:space="preserve">Describes quality assurance requirements, requirements for laboratories and methods of   analysis to control </w:t>
      </w:r>
      <w:r w:rsidRPr="00686E32">
        <w:rPr>
          <w:rFonts w:ascii="Source Sans Pro" w:hAnsi="Source Sans Pro"/>
          <w:color w:val="auto"/>
        </w:rPr>
        <w:t>undesirable substances</w:t>
      </w:r>
      <w:r w:rsidRPr="005109FA">
        <w:rPr>
          <w:rFonts w:ascii="Source Sans Pro" w:hAnsi="Source Sans Pro"/>
          <w:color w:val="auto"/>
        </w:rPr>
        <w:t xml:space="preserve"> including the determination of total gossypol, level of dioxins (PCDD/PCDF) and dioxin-like PCBs in Annex V. </w:t>
      </w:r>
    </w:p>
    <w:p w14:paraId="564FC857" w14:textId="77777777" w:rsidR="00667095" w:rsidRPr="005109FA" w:rsidRDefault="00667095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 xml:space="preserve">Provides information on interpreting results for PCDD and PCBs: The </w:t>
      </w:r>
      <w:r w:rsidRPr="00686E32">
        <w:rPr>
          <w:rFonts w:ascii="Source Sans Pro" w:hAnsi="Source Sans Pro"/>
          <w:color w:val="auto"/>
        </w:rPr>
        <w:t>batch</w:t>
      </w:r>
      <w:r w:rsidRPr="005109FA">
        <w:rPr>
          <w:rFonts w:ascii="Source Sans Pro" w:hAnsi="Source Sans Pro"/>
          <w:color w:val="auto"/>
        </w:rPr>
        <w:t xml:space="preserve"> is accepted if the analytical results of a single analysis do not exceed the respective maximum level as laid down in Directive 2002/32/EC </w:t>
      </w:r>
      <w:proofErr w:type="gramStart"/>
      <w:r w:rsidRPr="005109FA">
        <w:rPr>
          <w:rFonts w:ascii="Source Sans Pro" w:hAnsi="Source Sans Pro"/>
          <w:color w:val="auto"/>
        </w:rPr>
        <w:t>taking into account</w:t>
      </w:r>
      <w:proofErr w:type="gramEnd"/>
      <w:r w:rsidRPr="005109FA">
        <w:rPr>
          <w:rFonts w:ascii="Source Sans Pro" w:hAnsi="Source Sans Pro"/>
          <w:color w:val="auto"/>
        </w:rPr>
        <w:t xml:space="preserve"> the measurement uncertainty.</w:t>
      </w:r>
    </w:p>
    <w:p w14:paraId="4DC5921D" w14:textId="77777777" w:rsidR="00667095" w:rsidRPr="005109FA" w:rsidRDefault="00667095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 xml:space="preserve">The lot is non-compliant with maximum level as laid down in Directive 2002/32/EC if the </w:t>
      </w:r>
      <w:proofErr w:type="spellStart"/>
      <w:r w:rsidRPr="005109FA">
        <w:rPr>
          <w:rFonts w:ascii="Source Sans Pro" w:hAnsi="Source Sans Pro"/>
          <w:color w:val="auto"/>
        </w:rPr>
        <w:t>upperbound</w:t>
      </w:r>
      <w:proofErr w:type="spellEnd"/>
      <w:r w:rsidRPr="005109FA">
        <w:rPr>
          <w:rFonts w:ascii="Source Sans Pro" w:hAnsi="Source Sans Pro"/>
          <w:color w:val="auto"/>
        </w:rPr>
        <w:t xml:space="preserve"> analytical result confirmed by duplicate analysis exceeds the maximum level beyond reasonable doubt </w:t>
      </w:r>
      <w:proofErr w:type="gramStart"/>
      <w:r w:rsidRPr="005109FA">
        <w:rPr>
          <w:rFonts w:ascii="Source Sans Pro" w:hAnsi="Source Sans Pro"/>
          <w:color w:val="auto"/>
        </w:rPr>
        <w:t>taking into account</w:t>
      </w:r>
      <w:proofErr w:type="gramEnd"/>
      <w:r w:rsidRPr="005109FA">
        <w:rPr>
          <w:rFonts w:ascii="Source Sans Pro" w:hAnsi="Source Sans Pro"/>
          <w:color w:val="auto"/>
        </w:rPr>
        <w:t xml:space="preserve"> the measurement uncertainty.</w:t>
      </w:r>
    </w:p>
    <w:p w14:paraId="2F833A94" w14:textId="77777777" w:rsidR="00667095" w:rsidRPr="005109FA" w:rsidRDefault="00667095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 xml:space="preserve">Lays down the methods of analysis to control illegal presence of no longer authorised </w:t>
      </w:r>
      <w:r w:rsidRPr="00686E32">
        <w:rPr>
          <w:rFonts w:ascii="Source Sans Pro" w:hAnsi="Source Sans Pro"/>
          <w:color w:val="auto"/>
        </w:rPr>
        <w:t xml:space="preserve">additives </w:t>
      </w:r>
      <w:r w:rsidRPr="005109FA">
        <w:rPr>
          <w:rFonts w:ascii="Source Sans Pro" w:hAnsi="Source Sans Pro"/>
          <w:color w:val="auto"/>
        </w:rPr>
        <w:t>in feed in Annex VIII.</w:t>
      </w:r>
    </w:p>
    <w:p w14:paraId="586B03A6" w14:textId="77777777" w:rsidR="00667095" w:rsidRPr="003749D8" w:rsidRDefault="00667095" w:rsidP="00471218">
      <w:pPr>
        <w:pStyle w:val="Header"/>
        <w:keepLines/>
        <w:tabs>
          <w:tab w:val="left" w:pos="284"/>
        </w:tabs>
        <w:jc w:val="both"/>
        <w:rPr>
          <w:rFonts w:asciiTheme="minorHAnsi" w:hAnsiTheme="minorHAnsi"/>
          <w:color w:val="auto"/>
        </w:rPr>
      </w:pPr>
    </w:p>
    <w:p w14:paraId="1C77E6E0" w14:textId="3492E16C" w:rsidR="00667095" w:rsidRPr="003749D8" w:rsidRDefault="00667095" w:rsidP="00471218">
      <w:pPr>
        <w:pStyle w:val="FEDIAF1"/>
      </w:pPr>
      <w:bookmarkStart w:id="20" w:name="_Toc532390600"/>
      <w:r w:rsidRPr="003749D8">
        <w:t xml:space="preserve">Regulation </w:t>
      </w:r>
      <w:hyperlink r:id="rId29" w:history="1">
        <w:r w:rsidRPr="005109FA">
          <w:rPr>
            <w:rStyle w:val="Hyperlink"/>
          </w:rPr>
          <w:t>(EC) No 767/2009</w:t>
        </w:r>
      </w:hyperlink>
      <w:r w:rsidRPr="003749D8">
        <w:t xml:space="preserve"> on the marketing and use of feed.</w:t>
      </w:r>
      <w:bookmarkEnd w:id="20"/>
    </w:p>
    <w:p w14:paraId="3EE0E49C" w14:textId="77777777" w:rsidR="00667095" w:rsidRPr="005109FA" w:rsidRDefault="00667095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>Replaces amongst others directive 79/373/EEC and directive 96/25/EC.</w:t>
      </w:r>
    </w:p>
    <w:p w14:paraId="54AF0837" w14:textId="77777777" w:rsidR="00667095" w:rsidRPr="005109FA" w:rsidRDefault="00667095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686E32">
        <w:rPr>
          <w:rFonts w:ascii="Source Sans Pro" w:hAnsi="Source Sans Pro"/>
          <w:color w:val="auto"/>
        </w:rPr>
        <w:t>Pet food</w:t>
      </w:r>
      <w:r w:rsidRPr="005109FA">
        <w:rPr>
          <w:rFonts w:ascii="Source Sans Pro" w:hAnsi="Source Sans Pro"/>
          <w:color w:val="auto"/>
        </w:rPr>
        <w:t xml:space="preserve"> may only be placed on the market if safe.</w:t>
      </w:r>
    </w:p>
    <w:p w14:paraId="59DB1420" w14:textId="77777777" w:rsidR="00667095" w:rsidRPr="005109FA" w:rsidRDefault="00667095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 xml:space="preserve">Lays down the rules for labelling and also the off-pack communication of </w:t>
      </w:r>
      <w:r w:rsidRPr="00686E32">
        <w:rPr>
          <w:rFonts w:ascii="Source Sans Pro" w:hAnsi="Source Sans Pro"/>
          <w:color w:val="auto"/>
        </w:rPr>
        <w:t>pet food</w:t>
      </w:r>
      <w:r w:rsidRPr="005109FA">
        <w:rPr>
          <w:rFonts w:ascii="Source Sans Pro" w:hAnsi="Source Sans Pro"/>
          <w:color w:val="auto"/>
        </w:rPr>
        <w:t>.</w:t>
      </w:r>
    </w:p>
    <w:p w14:paraId="449FE9EA" w14:textId="77777777" w:rsidR="00667095" w:rsidRPr="005109FA" w:rsidRDefault="00667095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>Regulates claims.</w:t>
      </w:r>
    </w:p>
    <w:p w14:paraId="45DD8B20" w14:textId="77777777" w:rsidR="00667095" w:rsidRPr="005109FA" w:rsidRDefault="00667095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>Catalogue of Feed Materials.</w:t>
      </w:r>
    </w:p>
    <w:p w14:paraId="5F2F31A6" w14:textId="075DC9C8" w:rsidR="00667095" w:rsidRPr="005109FA" w:rsidRDefault="00667095" w:rsidP="00471218">
      <w:pPr>
        <w:keepLines/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b/>
          <w:color w:val="auto"/>
        </w:rPr>
        <w:t xml:space="preserve">Note: </w:t>
      </w:r>
      <w:r w:rsidRPr="005109FA">
        <w:rPr>
          <w:rFonts w:ascii="Source Sans Pro" w:hAnsi="Source Sans Pro"/>
          <w:color w:val="auto"/>
        </w:rPr>
        <w:t>The current version of the EU Catalogue of feed materials (</w:t>
      </w:r>
      <w:r w:rsidR="00A46C04">
        <w:rPr>
          <w:rFonts w:ascii="Source Sans Pro" w:hAnsi="Source Sans Pro"/>
          <w:color w:val="auto"/>
        </w:rPr>
        <w:t xml:space="preserve">Regulation </w:t>
      </w:r>
      <w:r w:rsidR="00A46C04" w:rsidRPr="00686E32">
        <w:rPr>
          <w:rFonts w:ascii="Source Sans Pro" w:hAnsi="Source Sans Pro"/>
          <w:color w:val="auto"/>
        </w:rPr>
        <w:t xml:space="preserve">(EU) </w:t>
      </w:r>
      <w:hyperlink r:id="rId30" w:history="1">
        <w:r w:rsidR="00A46C04" w:rsidRPr="00686E32">
          <w:rPr>
            <w:rStyle w:val="Hyperlink"/>
            <w:rFonts w:ascii="Source Sans Pro" w:hAnsi="Source Sans Pro"/>
          </w:rPr>
          <w:t>68/2013</w:t>
        </w:r>
      </w:hyperlink>
      <w:r w:rsidRPr="005109FA">
        <w:rPr>
          <w:rFonts w:ascii="Source Sans Pro" w:hAnsi="Source Sans Pro"/>
          <w:color w:val="auto"/>
        </w:rPr>
        <w:t>) lists feed materials permitted in animal feed in a voluntary/non-conclusive way;</w:t>
      </w:r>
      <w:r w:rsidR="00A46C04">
        <w:rPr>
          <w:rFonts w:ascii="Source Sans Pro" w:hAnsi="Source Sans Pro"/>
          <w:color w:val="auto"/>
        </w:rPr>
        <w:t xml:space="preserve"> the names used in the Catalogue are not required to be used for labelling provided the term used describes the feed material properly; </w:t>
      </w:r>
      <w:r w:rsidRPr="005109FA">
        <w:rPr>
          <w:rFonts w:ascii="Source Sans Pro" w:hAnsi="Source Sans Pro"/>
          <w:color w:val="auto"/>
        </w:rPr>
        <w:t xml:space="preserve"> feed materials not listed </w:t>
      </w:r>
      <w:r w:rsidR="00CE303C">
        <w:rPr>
          <w:rFonts w:ascii="Source Sans Pro" w:hAnsi="Source Sans Pro"/>
          <w:color w:val="auto"/>
        </w:rPr>
        <w:t>must</w:t>
      </w:r>
      <w:r w:rsidRPr="005109FA">
        <w:rPr>
          <w:rFonts w:ascii="Source Sans Pro" w:hAnsi="Source Sans Pro"/>
          <w:color w:val="auto"/>
        </w:rPr>
        <w:t xml:space="preserve"> be listed in the EU  register of feed materials. </w:t>
      </w:r>
    </w:p>
    <w:p w14:paraId="3090A424" w14:textId="77777777" w:rsidR="00667095" w:rsidRPr="005109FA" w:rsidRDefault="00667095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lastRenderedPageBreak/>
        <w:t>Feed materials must not represent any danger to animal or human health or to the environment.</w:t>
      </w:r>
    </w:p>
    <w:p w14:paraId="37F5D611" w14:textId="77777777" w:rsidR="00667095" w:rsidRPr="005109FA" w:rsidRDefault="00667095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>Feed may only be put into circulation if they are of sound, genuine and merchantable quality.</w:t>
      </w:r>
    </w:p>
    <w:p w14:paraId="6D220D9C" w14:textId="77777777" w:rsidR="00667095" w:rsidRPr="005109FA" w:rsidRDefault="00667095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>Labelling requirements for feed materials.</w:t>
      </w:r>
    </w:p>
    <w:p w14:paraId="4E7105CB" w14:textId="77777777" w:rsidR="00667095" w:rsidRPr="005109FA" w:rsidRDefault="00667095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5109FA">
        <w:rPr>
          <w:rFonts w:ascii="Source Sans Pro" w:hAnsi="Source Sans Pro"/>
          <w:color w:val="auto"/>
        </w:rPr>
        <w:t>A non-exclusive list of feed materials with specific names, description and compulsory declarations.</w:t>
      </w:r>
    </w:p>
    <w:p w14:paraId="40A55772" w14:textId="77777777" w:rsidR="00DC6647" w:rsidRDefault="00DC6647" w:rsidP="00471218">
      <w:pPr>
        <w:pStyle w:val="FEDIAF1"/>
        <w:keepNext w:val="0"/>
      </w:pPr>
    </w:p>
    <w:p w14:paraId="6CBD94D4" w14:textId="4427A9AE" w:rsidR="00386862" w:rsidRPr="003749D8" w:rsidRDefault="00386862" w:rsidP="00471218">
      <w:pPr>
        <w:pStyle w:val="FEDIAF1"/>
        <w:keepNext w:val="0"/>
      </w:pPr>
      <w:bookmarkStart w:id="21" w:name="_Toc532390601"/>
      <w:r w:rsidRPr="003749D8">
        <w:t xml:space="preserve">Regulations </w:t>
      </w:r>
      <w:hyperlink r:id="rId31" w:history="1">
        <w:r w:rsidRPr="00CC185E">
          <w:rPr>
            <w:rStyle w:val="Hyperlink"/>
          </w:rPr>
          <w:t>(EC) No 1069/2009</w:t>
        </w:r>
      </w:hyperlink>
      <w:r w:rsidRPr="003749D8">
        <w:t xml:space="preserve"> and </w:t>
      </w:r>
      <w:hyperlink r:id="rId32" w:history="1">
        <w:r w:rsidRPr="00CC185E">
          <w:rPr>
            <w:rStyle w:val="Hyperlink"/>
          </w:rPr>
          <w:t>(EU) No 142/2011</w:t>
        </w:r>
      </w:hyperlink>
      <w:r w:rsidRPr="003749D8">
        <w:t xml:space="preserve"> laying down health rules as regards animal by-products and derived products not intended for human consumption (Animal by-products Regulation) and its implementing Regulation</w:t>
      </w:r>
      <w:bookmarkEnd w:id="21"/>
      <w:r w:rsidRPr="003749D8">
        <w:t xml:space="preserve"> </w:t>
      </w:r>
    </w:p>
    <w:p w14:paraId="40037091" w14:textId="77777777" w:rsidR="00386862" w:rsidRPr="00CC185E" w:rsidRDefault="00386862" w:rsidP="00471218">
      <w:pPr>
        <w:keepLines/>
        <w:numPr>
          <w:ilvl w:val="0"/>
          <w:numId w:val="3"/>
        </w:numPr>
        <w:ind w:left="714" w:hanging="357"/>
        <w:jc w:val="both"/>
        <w:rPr>
          <w:rFonts w:ascii="Source Sans Pro" w:hAnsi="Source Sans Pro"/>
          <w:color w:val="auto"/>
        </w:rPr>
      </w:pPr>
      <w:r w:rsidRPr="00CC185E">
        <w:rPr>
          <w:rFonts w:ascii="Source Sans Pro" w:hAnsi="Source Sans Pro"/>
          <w:color w:val="auto"/>
        </w:rPr>
        <w:t xml:space="preserve">Animal and public health rules for the collection, transport, storage handling, processing and use or disposal of </w:t>
      </w:r>
      <w:r w:rsidRPr="00686E32">
        <w:rPr>
          <w:rFonts w:ascii="Source Sans Pro" w:hAnsi="Source Sans Pro"/>
          <w:color w:val="auto"/>
        </w:rPr>
        <w:t>animal by-products</w:t>
      </w:r>
      <w:r w:rsidRPr="00CC185E">
        <w:rPr>
          <w:rFonts w:ascii="Source Sans Pro" w:hAnsi="Source Sans Pro"/>
          <w:color w:val="auto"/>
        </w:rPr>
        <w:t xml:space="preserve">, to prevent these products from presenting a </w:t>
      </w:r>
      <w:r w:rsidRPr="00686E32">
        <w:rPr>
          <w:rFonts w:ascii="Source Sans Pro" w:hAnsi="Source Sans Pro"/>
          <w:color w:val="auto"/>
        </w:rPr>
        <w:t>risk</w:t>
      </w:r>
      <w:r w:rsidRPr="00CC185E">
        <w:rPr>
          <w:rFonts w:ascii="Source Sans Pro" w:hAnsi="Source Sans Pro"/>
          <w:color w:val="auto"/>
        </w:rPr>
        <w:t xml:space="preserve"> to animal or public health.</w:t>
      </w:r>
    </w:p>
    <w:p w14:paraId="402A49FF" w14:textId="77777777" w:rsidR="00471218" w:rsidRDefault="00386862" w:rsidP="00471218">
      <w:pPr>
        <w:keepLines/>
        <w:numPr>
          <w:ilvl w:val="0"/>
          <w:numId w:val="3"/>
        </w:numPr>
        <w:ind w:left="714" w:hanging="357"/>
        <w:jc w:val="both"/>
        <w:rPr>
          <w:rFonts w:ascii="Source Sans Pro" w:hAnsi="Source Sans Pro"/>
          <w:color w:val="auto"/>
        </w:rPr>
      </w:pPr>
      <w:r w:rsidRPr="00686E32">
        <w:rPr>
          <w:rFonts w:ascii="Source Sans Pro" w:hAnsi="Source Sans Pro"/>
          <w:color w:val="auto"/>
        </w:rPr>
        <w:t>Approval of pet food plants including the requirements, which must be fulfilled by the plants.</w:t>
      </w:r>
    </w:p>
    <w:p w14:paraId="2575B287" w14:textId="77777777" w:rsidR="00471218" w:rsidRDefault="00386862" w:rsidP="00471218">
      <w:pPr>
        <w:keepLines/>
        <w:numPr>
          <w:ilvl w:val="0"/>
          <w:numId w:val="3"/>
        </w:numPr>
        <w:ind w:left="714" w:hanging="357"/>
        <w:jc w:val="both"/>
        <w:rPr>
          <w:rFonts w:ascii="Source Sans Pro" w:hAnsi="Source Sans Pro"/>
          <w:color w:val="auto"/>
        </w:rPr>
      </w:pPr>
      <w:r w:rsidRPr="00471218">
        <w:rPr>
          <w:rFonts w:ascii="Source Sans Pro" w:hAnsi="Source Sans Pro"/>
          <w:color w:val="auto"/>
        </w:rPr>
        <w:t xml:space="preserve">Specific health requirements for feed materials, processed animal proteins and pet food with regards to feed material origin (Category 3), heat treatment, prevention of re-contamination, packaging and microbiological testing. </w:t>
      </w:r>
    </w:p>
    <w:p w14:paraId="32146AC4" w14:textId="76AB5200" w:rsidR="00386862" w:rsidRPr="00471218" w:rsidRDefault="00386862" w:rsidP="00471218">
      <w:pPr>
        <w:keepLines/>
        <w:numPr>
          <w:ilvl w:val="0"/>
          <w:numId w:val="3"/>
        </w:numPr>
        <w:ind w:left="714" w:hanging="357"/>
        <w:jc w:val="both"/>
        <w:rPr>
          <w:rFonts w:ascii="Source Sans Pro" w:hAnsi="Source Sans Pro"/>
          <w:color w:val="auto"/>
        </w:rPr>
      </w:pPr>
      <w:r w:rsidRPr="00471218">
        <w:rPr>
          <w:rFonts w:ascii="Source Sans Pro" w:hAnsi="Source Sans Pro"/>
          <w:color w:val="auto"/>
        </w:rPr>
        <w:t xml:space="preserve">Health requirements and health certificates for import of animal by-products including feed materials, processed animal proteins and pet food from 3rd countries. </w:t>
      </w:r>
    </w:p>
    <w:p w14:paraId="576FE340" w14:textId="77777777" w:rsidR="00CE303C" w:rsidRPr="00686E32" w:rsidRDefault="00CE303C" w:rsidP="00471218">
      <w:pPr>
        <w:keepLines/>
        <w:ind w:left="720"/>
        <w:jc w:val="both"/>
        <w:rPr>
          <w:rFonts w:ascii="Source Sans Pro" w:hAnsi="Source Sans Pro"/>
          <w:color w:val="auto"/>
        </w:rPr>
      </w:pPr>
    </w:p>
    <w:p w14:paraId="1B62D3A3" w14:textId="2051A03C" w:rsidR="0072612C" w:rsidRDefault="009403A3" w:rsidP="00471218">
      <w:pPr>
        <w:pStyle w:val="FEDIAF1"/>
        <w:keepNext w:val="0"/>
      </w:pPr>
      <w:bookmarkStart w:id="22" w:name="_Toc532390602"/>
      <w:r>
        <w:t xml:space="preserve">Directive </w:t>
      </w:r>
      <w:hyperlink r:id="rId33" w:history="1">
        <w:r w:rsidRPr="009403A3">
          <w:rPr>
            <w:rStyle w:val="Hyperlink"/>
          </w:rPr>
          <w:t>2010/13/EU</w:t>
        </w:r>
      </w:hyperlink>
      <w:r>
        <w:t xml:space="preserve"> on the coordination of certain provisions laid down by law, regulation or administrative action in Member States concerning the provision of </w:t>
      </w:r>
      <w:proofErr w:type="spellStart"/>
      <w:r>
        <w:t>audiovisual</w:t>
      </w:r>
      <w:proofErr w:type="spellEnd"/>
      <w:r>
        <w:t xml:space="preserve"> media services (</w:t>
      </w:r>
      <w:proofErr w:type="spellStart"/>
      <w:r>
        <w:t>Audiovisual</w:t>
      </w:r>
      <w:proofErr w:type="spellEnd"/>
      <w:r>
        <w:t xml:space="preserve"> Media Services Directive)</w:t>
      </w:r>
      <w:bookmarkEnd w:id="22"/>
    </w:p>
    <w:p w14:paraId="767CD9A9" w14:textId="3045F866" w:rsidR="00A46C04" w:rsidRPr="00686E32" w:rsidRDefault="00A46C04" w:rsidP="00471218">
      <w:pPr>
        <w:keepNext/>
        <w:keepLines/>
        <w:numPr>
          <w:ilvl w:val="0"/>
          <w:numId w:val="3"/>
        </w:numPr>
        <w:jc w:val="both"/>
        <w:rPr>
          <w:rFonts w:ascii="Source Sans Pro" w:hAnsi="Source Sans Pro"/>
          <w:color w:val="auto"/>
        </w:rPr>
      </w:pPr>
      <w:r w:rsidRPr="00686E32">
        <w:rPr>
          <w:rFonts w:ascii="Source Sans Pro" w:hAnsi="Source Sans Pro"/>
          <w:color w:val="auto"/>
        </w:rPr>
        <w:t xml:space="preserve">Lays down rules on broadcasting </w:t>
      </w:r>
    </w:p>
    <w:p w14:paraId="075724CB" w14:textId="1281AFD5" w:rsidR="00A46C04" w:rsidRPr="00686E32" w:rsidRDefault="00A46C04" w:rsidP="00471218">
      <w:pPr>
        <w:keepNext/>
        <w:keepLines/>
        <w:numPr>
          <w:ilvl w:val="0"/>
          <w:numId w:val="3"/>
        </w:numPr>
        <w:jc w:val="both"/>
        <w:rPr>
          <w:rFonts w:ascii="Source Sans Pro" w:hAnsi="Source Sans Pro"/>
          <w:color w:val="auto"/>
        </w:rPr>
      </w:pPr>
      <w:r w:rsidRPr="00686E32">
        <w:rPr>
          <w:rFonts w:ascii="Source Sans Pro" w:hAnsi="Source Sans Pro"/>
          <w:color w:val="auto"/>
        </w:rPr>
        <w:t xml:space="preserve">Restricting certain advertising, e.g. minors  </w:t>
      </w:r>
    </w:p>
    <w:p w14:paraId="03BA87FB" w14:textId="4216DADD" w:rsidR="009403A3" w:rsidRDefault="009403A3" w:rsidP="00471218">
      <w:pPr>
        <w:pStyle w:val="FEDIAF1"/>
      </w:pPr>
    </w:p>
    <w:p w14:paraId="5964D0DA" w14:textId="720C69B1" w:rsidR="009815DF" w:rsidRPr="009815DF" w:rsidRDefault="009815DF" w:rsidP="009815DF">
      <w:pPr>
        <w:pStyle w:val="FEDIAF1"/>
      </w:pPr>
      <w:bookmarkStart w:id="23" w:name="_Toc532390585"/>
      <w:r>
        <w:t xml:space="preserve">Regulation </w:t>
      </w:r>
      <w:hyperlink r:id="rId34" w:history="1">
        <w:r w:rsidRPr="009815DF">
          <w:rPr>
            <w:rStyle w:val="Hyperlink"/>
          </w:rPr>
          <w:t>10/2011/EU</w:t>
        </w:r>
      </w:hyperlink>
      <w:r>
        <w:t xml:space="preserve"> on</w:t>
      </w:r>
      <w:r w:rsidRPr="009815DF">
        <w:t xml:space="preserve"> plastic materials and articles intended to come in contact with food.</w:t>
      </w:r>
      <w:bookmarkEnd w:id="23"/>
    </w:p>
    <w:p w14:paraId="0BAD21B3" w14:textId="77777777" w:rsidR="009815DF" w:rsidRPr="009815DF" w:rsidRDefault="009815DF" w:rsidP="009815DF">
      <w:pPr>
        <w:pStyle w:val="FEDIAF1"/>
        <w:numPr>
          <w:ilvl w:val="0"/>
          <w:numId w:val="1"/>
        </w:numPr>
      </w:pPr>
      <w:r w:rsidRPr="009815DF">
        <w:t>Authorised materials to be used in the manufacture of packaging materials.</w:t>
      </w:r>
    </w:p>
    <w:p w14:paraId="0BF29617" w14:textId="77777777" w:rsidR="009815DF" w:rsidRPr="009815DF" w:rsidRDefault="009815DF" w:rsidP="009815DF">
      <w:pPr>
        <w:pStyle w:val="FEDIAF1"/>
        <w:numPr>
          <w:ilvl w:val="0"/>
          <w:numId w:val="1"/>
        </w:numPr>
      </w:pPr>
      <w:r w:rsidRPr="009815DF">
        <w:t>Migration limits from packaging material to food materials.</w:t>
      </w:r>
    </w:p>
    <w:p w14:paraId="01D72B1A" w14:textId="77777777" w:rsidR="009815DF" w:rsidRDefault="009815DF" w:rsidP="00471218">
      <w:pPr>
        <w:pStyle w:val="FEDIAF1"/>
      </w:pPr>
    </w:p>
    <w:p w14:paraId="3BC62440" w14:textId="5E3E3AC5" w:rsidR="00334EA9" w:rsidRDefault="00334EA9" w:rsidP="00471218">
      <w:pPr>
        <w:pStyle w:val="FEDIAF1"/>
      </w:pPr>
      <w:bookmarkStart w:id="24" w:name="_Toc532390603"/>
      <w:r>
        <w:t>Rec</w:t>
      </w:r>
      <w:r w:rsidR="009D2532">
        <w:t>ommendation</w:t>
      </w:r>
      <w:r>
        <w:t xml:space="preserve"> </w:t>
      </w:r>
      <w:hyperlink r:id="rId35" w:history="1">
        <w:r w:rsidRPr="009D2532">
          <w:rPr>
            <w:rStyle w:val="Hyperlink"/>
          </w:rPr>
          <w:t>2011/25</w:t>
        </w:r>
        <w:r w:rsidR="009D2532" w:rsidRPr="009D2532">
          <w:rPr>
            <w:rStyle w:val="Hyperlink"/>
          </w:rPr>
          <w:t>/EU</w:t>
        </w:r>
      </w:hyperlink>
      <w:r w:rsidR="0072612C">
        <w:t xml:space="preserve"> </w:t>
      </w:r>
      <w:r>
        <w:t>establishing guidelines for the distinction between feed materials, feed additives, biocidal products and veterinary products</w:t>
      </w:r>
      <w:bookmarkEnd w:id="24"/>
    </w:p>
    <w:p w14:paraId="3FC8218E" w14:textId="6F912B55" w:rsidR="00334EA9" w:rsidRPr="00A46C04" w:rsidRDefault="00A46C04" w:rsidP="00471218">
      <w:pPr>
        <w:keepNext/>
        <w:keepLines/>
        <w:numPr>
          <w:ilvl w:val="0"/>
          <w:numId w:val="3"/>
        </w:numPr>
        <w:jc w:val="both"/>
        <w:rPr>
          <w:rFonts w:ascii="Source Sans Pro" w:hAnsi="Source Sans Pro"/>
          <w:color w:val="auto"/>
        </w:rPr>
      </w:pPr>
      <w:r w:rsidRPr="00A46C04">
        <w:rPr>
          <w:rFonts w:ascii="Source Sans Pro" w:hAnsi="Source Sans Pro"/>
          <w:color w:val="auto"/>
        </w:rPr>
        <w:t xml:space="preserve">Laying down guidance for distinguishing substances used in animal feed </w:t>
      </w:r>
    </w:p>
    <w:p w14:paraId="5D89258F" w14:textId="77777777" w:rsidR="0072612C" w:rsidRDefault="0072612C" w:rsidP="00471218">
      <w:pPr>
        <w:pStyle w:val="FEDIAF1"/>
      </w:pPr>
    </w:p>
    <w:p w14:paraId="5CBB4A1D" w14:textId="4A0F975F" w:rsidR="00334EA9" w:rsidRDefault="00334EA9" w:rsidP="00471218">
      <w:pPr>
        <w:pStyle w:val="FEDIAF1"/>
      </w:pPr>
      <w:bookmarkStart w:id="25" w:name="_Toc532390604"/>
      <w:r>
        <w:t>D</w:t>
      </w:r>
      <w:r w:rsidR="0072612C">
        <w:t>irective</w:t>
      </w:r>
      <w:r>
        <w:t xml:space="preserve"> </w:t>
      </w:r>
      <w:hyperlink r:id="rId36" w:history="1">
        <w:r w:rsidRPr="0072612C">
          <w:rPr>
            <w:rStyle w:val="Hyperlink"/>
          </w:rPr>
          <w:t>2011/83</w:t>
        </w:r>
        <w:r w:rsidR="0072612C" w:rsidRPr="0072612C">
          <w:rPr>
            <w:rStyle w:val="Hyperlink"/>
          </w:rPr>
          <w:t>/EU</w:t>
        </w:r>
      </w:hyperlink>
      <w:r w:rsidR="0072612C">
        <w:t xml:space="preserve"> </w:t>
      </w:r>
      <w:r>
        <w:t>on consumer rights</w:t>
      </w:r>
      <w:bookmarkEnd w:id="25"/>
    </w:p>
    <w:p w14:paraId="04A3A0F5" w14:textId="2893B619" w:rsidR="00334EA9" w:rsidRPr="00A46C04" w:rsidRDefault="00A46C04" w:rsidP="00471218">
      <w:pPr>
        <w:keepNext/>
        <w:keepLines/>
        <w:numPr>
          <w:ilvl w:val="0"/>
          <w:numId w:val="3"/>
        </w:numPr>
        <w:jc w:val="both"/>
        <w:rPr>
          <w:rFonts w:ascii="Source Sans Pro" w:hAnsi="Source Sans Pro"/>
          <w:color w:val="auto"/>
        </w:rPr>
      </w:pPr>
      <w:r w:rsidRPr="00A46C04">
        <w:rPr>
          <w:rFonts w:ascii="Source Sans Pro" w:hAnsi="Source Sans Pro"/>
          <w:color w:val="auto"/>
        </w:rPr>
        <w:t xml:space="preserve">Laying down consumer rights, in particular for contracts </w:t>
      </w:r>
    </w:p>
    <w:p w14:paraId="5E461E94" w14:textId="77777777" w:rsidR="00334EA9" w:rsidRDefault="00334EA9" w:rsidP="00471218">
      <w:pPr>
        <w:pStyle w:val="FEDIAF1"/>
      </w:pPr>
    </w:p>
    <w:p w14:paraId="79ED7B0E" w14:textId="0652881F" w:rsidR="00B338DA" w:rsidRDefault="005F2579" w:rsidP="00471218">
      <w:pPr>
        <w:pStyle w:val="FEDIAF1"/>
      </w:pPr>
      <w:bookmarkStart w:id="26" w:name="_Toc532390605"/>
      <w:r w:rsidRPr="005F2579">
        <w:t xml:space="preserve">Regulation </w:t>
      </w:r>
      <w:hyperlink r:id="rId37" w:history="1">
        <w:r w:rsidRPr="005F2579">
          <w:rPr>
            <w:rStyle w:val="Hyperlink"/>
          </w:rPr>
          <w:t>(EU) No 576/2013</w:t>
        </w:r>
      </w:hyperlink>
      <w:r w:rsidRPr="005F2579">
        <w:t xml:space="preserve"> on the non-commercial movement of pet animals</w:t>
      </w:r>
      <w:bookmarkEnd w:id="26"/>
    </w:p>
    <w:p w14:paraId="5283B834" w14:textId="273CC250" w:rsidR="0072612C" w:rsidRDefault="00B338DA" w:rsidP="00471218">
      <w:pPr>
        <w:keepNext/>
        <w:keepLines/>
        <w:numPr>
          <w:ilvl w:val="0"/>
          <w:numId w:val="3"/>
        </w:numPr>
        <w:jc w:val="both"/>
        <w:rPr>
          <w:rFonts w:ascii="Source Sans Pro" w:hAnsi="Source Sans Pro"/>
          <w:color w:val="auto"/>
        </w:rPr>
      </w:pPr>
      <w:r w:rsidRPr="00B338DA">
        <w:rPr>
          <w:rFonts w:ascii="Source Sans Pro" w:hAnsi="Source Sans Pro"/>
          <w:color w:val="auto"/>
        </w:rPr>
        <w:t>lays down the animal health requirements applicable to the non-commercial movement of pet animals and the rules for compliance checks on such movemen</w:t>
      </w:r>
      <w:r>
        <w:rPr>
          <w:rFonts w:ascii="Source Sans Pro" w:hAnsi="Source Sans Pro"/>
          <w:color w:val="auto"/>
        </w:rPr>
        <w:t>t</w:t>
      </w:r>
    </w:p>
    <w:p w14:paraId="60F7419D" w14:textId="71C2A0D6" w:rsidR="00B338DA" w:rsidRDefault="00B338DA" w:rsidP="00471218">
      <w:pPr>
        <w:keepNext/>
        <w:keepLines/>
        <w:numPr>
          <w:ilvl w:val="0"/>
          <w:numId w:val="3"/>
        </w:numPr>
        <w:jc w:val="both"/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 xml:space="preserve">Established the pet passport </w:t>
      </w:r>
    </w:p>
    <w:p w14:paraId="52A11399" w14:textId="77777777" w:rsidR="00B338DA" w:rsidRPr="00B338DA" w:rsidRDefault="00B338DA" w:rsidP="00471218">
      <w:pPr>
        <w:keepNext/>
        <w:keepLines/>
        <w:numPr>
          <w:ilvl w:val="0"/>
          <w:numId w:val="3"/>
        </w:numPr>
        <w:jc w:val="both"/>
        <w:rPr>
          <w:rFonts w:ascii="Source Sans Pro" w:hAnsi="Source Sans Pro"/>
          <w:color w:val="auto"/>
        </w:rPr>
      </w:pPr>
    </w:p>
    <w:p w14:paraId="374FB03D" w14:textId="20B17289" w:rsidR="00386862" w:rsidRPr="003733C5" w:rsidRDefault="00386862" w:rsidP="00471218">
      <w:pPr>
        <w:pStyle w:val="FEDIAF1"/>
      </w:pPr>
      <w:bookmarkStart w:id="27" w:name="_Toc532390606"/>
      <w:r w:rsidRPr="003733C5">
        <w:t xml:space="preserve">Commission Recommendation </w:t>
      </w:r>
      <w:hyperlink r:id="rId38" w:history="1">
        <w:r w:rsidRPr="00CC185E">
          <w:rPr>
            <w:rStyle w:val="Hyperlink"/>
          </w:rPr>
          <w:t>(EU) 2016/1319</w:t>
        </w:r>
      </w:hyperlink>
      <w:r w:rsidRPr="003733C5">
        <w:t xml:space="preserve"> of 29 July 2016 amending Recommendation 2006/576/EC as regards deoxynivalenol, zearalenone and ochratoxin A in pet food</w:t>
      </w:r>
      <w:bookmarkEnd w:id="27"/>
      <w:r w:rsidRPr="003733C5">
        <w:t xml:space="preserve"> </w:t>
      </w:r>
    </w:p>
    <w:p w14:paraId="0728EB9B" w14:textId="77777777" w:rsidR="00386862" w:rsidRPr="00CC185E" w:rsidRDefault="00386862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CC185E">
        <w:rPr>
          <w:rFonts w:ascii="Source Sans Pro" w:hAnsi="Source Sans Pro"/>
        </w:rPr>
        <w:t xml:space="preserve">Establishes guidance values for deoxynivalenol, zearalenone, ochratoxin A, </w:t>
      </w:r>
      <w:proofErr w:type="spellStart"/>
      <w:r w:rsidRPr="00CC185E">
        <w:rPr>
          <w:rFonts w:ascii="Source Sans Pro" w:hAnsi="Source Sans Pro"/>
        </w:rPr>
        <w:t>fumonisins</w:t>
      </w:r>
      <w:proofErr w:type="spellEnd"/>
      <w:r w:rsidRPr="00CC185E">
        <w:rPr>
          <w:rFonts w:ascii="Source Sans Pro" w:hAnsi="Source Sans Pro"/>
        </w:rPr>
        <w:t xml:space="preserve"> B1+B2 and T-2 and HT-2 toxin in feed materials and pet food. </w:t>
      </w:r>
    </w:p>
    <w:p w14:paraId="0C968B17" w14:textId="59D81023" w:rsidR="00CC185E" w:rsidRPr="00B338DA" w:rsidRDefault="00386862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686E32">
        <w:rPr>
          <w:rFonts w:ascii="Source Sans Pro" w:hAnsi="Source Sans Pro"/>
        </w:rPr>
        <w:lastRenderedPageBreak/>
        <w:t>Pet food</w:t>
      </w:r>
      <w:r w:rsidRPr="00CC185E">
        <w:rPr>
          <w:rFonts w:ascii="Source Sans Pro" w:hAnsi="Source Sans Pro"/>
        </w:rPr>
        <w:t xml:space="preserve"> manufacturers should use these guidance levels, which are aligned with the well-established </w:t>
      </w:r>
      <w:r w:rsidRPr="00686E32">
        <w:rPr>
          <w:rFonts w:ascii="Source Sans Pro" w:hAnsi="Source Sans Pro"/>
        </w:rPr>
        <w:t xml:space="preserve">pet food </w:t>
      </w:r>
      <w:r w:rsidRPr="00CC185E">
        <w:rPr>
          <w:rFonts w:ascii="Source Sans Pro" w:hAnsi="Source Sans Pro"/>
        </w:rPr>
        <w:t xml:space="preserve">industry recommendations, in their </w:t>
      </w:r>
      <w:r w:rsidRPr="00686E32">
        <w:rPr>
          <w:rFonts w:ascii="Source Sans Pro" w:hAnsi="Source Sans Pro"/>
        </w:rPr>
        <w:t xml:space="preserve">HACCP </w:t>
      </w:r>
      <w:r w:rsidRPr="00CC185E">
        <w:rPr>
          <w:rFonts w:ascii="Source Sans Pro" w:hAnsi="Source Sans Pro"/>
        </w:rPr>
        <w:t xml:space="preserve">system to determine the </w:t>
      </w:r>
      <w:r w:rsidRPr="00686E32">
        <w:rPr>
          <w:rFonts w:ascii="Source Sans Pro" w:hAnsi="Source Sans Pro"/>
        </w:rPr>
        <w:t>critical limits</w:t>
      </w:r>
      <w:r w:rsidRPr="00CC185E">
        <w:rPr>
          <w:rFonts w:ascii="Source Sans Pro" w:hAnsi="Source Sans Pro"/>
        </w:rPr>
        <w:t xml:space="preserve">, which separate acceptability from unacceptability. </w:t>
      </w:r>
    </w:p>
    <w:p w14:paraId="6AED7D97" w14:textId="743E1182" w:rsidR="00CC185E" w:rsidRDefault="00CC185E" w:rsidP="00471218">
      <w:pPr>
        <w:pStyle w:val="FEDIAF1"/>
      </w:pPr>
    </w:p>
    <w:p w14:paraId="0F770A12" w14:textId="6A4C73B7" w:rsidR="009815DF" w:rsidRDefault="009815DF" w:rsidP="009815DF">
      <w:pPr>
        <w:pStyle w:val="FEDIAF1"/>
      </w:pPr>
      <w:bookmarkStart w:id="28" w:name="_Toc532390596"/>
      <w:r>
        <w:t xml:space="preserve">Regulation </w:t>
      </w:r>
      <w:hyperlink r:id="rId39" w:history="1">
        <w:r w:rsidRPr="009815DF">
          <w:rPr>
            <w:rStyle w:val="Hyperlink"/>
          </w:rPr>
          <w:t>(EU) 2020/354</w:t>
        </w:r>
      </w:hyperlink>
      <w:r>
        <w:t xml:space="preserve"> es</w:t>
      </w:r>
      <w:r w:rsidRPr="00334EA9">
        <w:t>tablishing a list of intended uses of animal feedingstuffs for particular nutritional purposes</w:t>
      </w:r>
      <w:bookmarkEnd w:id="28"/>
    </w:p>
    <w:p w14:paraId="64CA1B45" w14:textId="77777777" w:rsidR="009815DF" w:rsidRPr="00CE303C" w:rsidRDefault="009815DF" w:rsidP="009815DF">
      <w:pPr>
        <w:keepLines/>
        <w:numPr>
          <w:ilvl w:val="0"/>
          <w:numId w:val="6"/>
        </w:numPr>
        <w:jc w:val="both"/>
        <w:rPr>
          <w:rFonts w:asciiTheme="minorHAnsi" w:hAnsiTheme="minorHAnsi"/>
        </w:rPr>
      </w:pPr>
      <w:r w:rsidRPr="00CE303C">
        <w:rPr>
          <w:rFonts w:asciiTheme="minorHAnsi" w:hAnsiTheme="minorHAnsi"/>
        </w:rPr>
        <w:t xml:space="preserve">Laying down the essential nutritional requirements for specific diets of animals whose process of assimilation, absorption or metabolism is temporarily or permanently impaired </w:t>
      </w:r>
    </w:p>
    <w:p w14:paraId="0C32AF2D" w14:textId="77777777" w:rsidR="009815DF" w:rsidRDefault="009815DF" w:rsidP="00471218">
      <w:pPr>
        <w:pStyle w:val="FEDIAF1"/>
      </w:pPr>
    </w:p>
    <w:p w14:paraId="58FC3DCB" w14:textId="1BA38336" w:rsidR="00CC185E" w:rsidRPr="003749D8" w:rsidRDefault="00CC185E" w:rsidP="00471218">
      <w:pPr>
        <w:pStyle w:val="FEDIAF1"/>
      </w:pPr>
      <w:bookmarkStart w:id="29" w:name="_Toc532390607"/>
      <w:r w:rsidRPr="003749D8">
        <w:t xml:space="preserve">The EFSA </w:t>
      </w:r>
      <w:proofErr w:type="spellStart"/>
      <w:r w:rsidRPr="003749D8">
        <w:t>Guidances</w:t>
      </w:r>
      <w:proofErr w:type="spellEnd"/>
      <w:r w:rsidRPr="003749D8">
        <w:t xml:space="preserve">, prepared by the Panel on </w:t>
      </w:r>
      <w:r w:rsidRPr="00686E32">
        <w:t xml:space="preserve">Additives </w:t>
      </w:r>
      <w:r w:rsidRPr="003749D8">
        <w:t>and Products or Substances used in Animal Feed</w:t>
      </w:r>
      <w:bookmarkEnd w:id="29"/>
    </w:p>
    <w:p w14:paraId="5FDB843D" w14:textId="77777777" w:rsidR="00CC185E" w:rsidRPr="00CC185E" w:rsidRDefault="00CC185E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CC185E">
        <w:rPr>
          <w:rFonts w:ascii="Source Sans Pro" w:hAnsi="Source Sans Pro"/>
        </w:rPr>
        <w:t xml:space="preserve">Help to prepare the dossier for the authorization of </w:t>
      </w:r>
      <w:r w:rsidRPr="00686E32">
        <w:rPr>
          <w:rFonts w:ascii="Source Sans Pro" w:hAnsi="Source Sans Pro"/>
        </w:rPr>
        <w:t>additives</w:t>
      </w:r>
      <w:r w:rsidRPr="00CC185E">
        <w:rPr>
          <w:rFonts w:ascii="Source Sans Pro" w:hAnsi="Source Sans Pro"/>
        </w:rPr>
        <w:t>.</w:t>
      </w:r>
    </w:p>
    <w:p w14:paraId="036CFCCB" w14:textId="77777777" w:rsidR="00CC185E" w:rsidRPr="00CC185E" w:rsidRDefault="00CC185E" w:rsidP="00471218">
      <w:pPr>
        <w:keepLines/>
        <w:numPr>
          <w:ilvl w:val="0"/>
          <w:numId w:val="6"/>
        </w:numPr>
        <w:jc w:val="both"/>
        <w:rPr>
          <w:rFonts w:ascii="Source Sans Pro" w:hAnsi="Source Sans Pro"/>
        </w:rPr>
      </w:pPr>
      <w:r w:rsidRPr="00CC185E">
        <w:rPr>
          <w:rFonts w:ascii="Source Sans Pro" w:hAnsi="Source Sans Pro"/>
        </w:rPr>
        <w:t>The following documents mention detailed requirements:</w:t>
      </w:r>
    </w:p>
    <w:p w14:paraId="072AA90D" w14:textId="77777777" w:rsidR="00CC185E" w:rsidRPr="00CC185E" w:rsidRDefault="00CC185E" w:rsidP="00471218">
      <w:pPr>
        <w:keepLines/>
        <w:numPr>
          <w:ilvl w:val="1"/>
          <w:numId w:val="6"/>
        </w:numPr>
        <w:jc w:val="both"/>
        <w:rPr>
          <w:rFonts w:ascii="Source Sans Pro" w:hAnsi="Source Sans Pro"/>
        </w:rPr>
      </w:pPr>
      <w:r w:rsidRPr="00CC185E">
        <w:rPr>
          <w:rFonts w:ascii="Source Sans Pro" w:hAnsi="Source Sans Pro"/>
        </w:rPr>
        <w:t>“</w:t>
      </w:r>
      <w:hyperlink r:id="rId40" w:history="1">
        <w:r w:rsidRPr="00CC185E">
          <w:rPr>
            <w:rStyle w:val="Hyperlink"/>
            <w:rFonts w:ascii="Source Sans Pro" w:hAnsi="Source Sans Pro"/>
          </w:rPr>
          <w:t>Guidance for the preparation of dossiers for the re-evaluation of certain additives already authorised under Directive 70/524/EEC</w:t>
        </w:r>
      </w:hyperlink>
      <w:r w:rsidRPr="00CC185E">
        <w:rPr>
          <w:rFonts w:ascii="Source Sans Pro" w:hAnsi="Source Sans Pro"/>
        </w:rPr>
        <w:t>”. (2008)</w:t>
      </w:r>
    </w:p>
    <w:p w14:paraId="0AA41F22" w14:textId="77777777" w:rsidR="00CC185E" w:rsidRPr="00CC185E" w:rsidRDefault="00CC185E" w:rsidP="00471218">
      <w:pPr>
        <w:keepLines/>
        <w:numPr>
          <w:ilvl w:val="1"/>
          <w:numId w:val="6"/>
        </w:numPr>
        <w:jc w:val="both"/>
        <w:rPr>
          <w:rFonts w:ascii="Source Sans Pro" w:hAnsi="Source Sans Pro"/>
        </w:rPr>
      </w:pPr>
      <w:r w:rsidRPr="00CC185E">
        <w:rPr>
          <w:rFonts w:ascii="Source Sans Pro" w:hAnsi="Source Sans Pro"/>
        </w:rPr>
        <w:t>“</w:t>
      </w:r>
      <w:hyperlink r:id="rId41" w:history="1">
        <w:r w:rsidRPr="00CC185E">
          <w:rPr>
            <w:rStyle w:val="Hyperlink"/>
            <w:rFonts w:ascii="Source Sans Pro" w:hAnsi="Source Sans Pro"/>
          </w:rPr>
          <w:t>Guidance for the preparation of dossiers for the additives already authorised for use in food</w:t>
        </w:r>
      </w:hyperlink>
      <w:r w:rsidRPr="00CC185E">
        <w:rPr>
          <w:rFonts w:ascii="Source Sans Pro" w:hAnsi="Source Sans Pro"/>
        </w:rPr>
        <w:t>”. (2012)</w:t>
      </w:r>
    </w:p>
    <w:p w14:paraId="554B12CC" w14:textId="77777777" w:rsidR="00CC185E" w:rsidRPr="00CC185E" w:rsidRDefault="00CC185E" w:rsidP="00471218">
      <w:pPr>
        <w:keepLines/>
        <w:numPr>
          <w:ilvl w:val="1"/>
          <w:numId w:val="6"/>
        </w:numPr>
        <w:jc w:val="both"/>
        <w:rPr>
          <w:rFonts w:ascii="Source Sans Pro" w:hAnsi="Source Sans Pro"/>
        </w:rPr>
      </w:pPr>
      <w:proofErr w:type="spellStart"/>
      <w:r w:rsidRPr="00CC185E">
        <w:rPr>
          <w:rFonts w:ascii="Source Sans Pro" w:hAnsi="Source Sans Pro"/>
        </w:rPr>
        <w:t>Guidances</w:t>
      </w:r>
      <w:proofErr w:type="spellEnd"/>
      <w:r w:rsidRPr="00CC185E">
        <w:rPr>
          <w:rFonts w:ascii="Source Sans Pro" w:hAnsi="Source Sans Pro"/>
        </w:rPr>
        <w:t xml:space="preserve"> for the preparation of dossiers for the </w:t>
      </w:r>
      <w:hyperlink r:id="rId42" w:history="1">
        <w:r w:rsidRPr="00CC185E">
          <w:rPr>
            <w:rStyle w:val="Hyperlink"/>
            <w:rFonts w:ascii="Source Sans Pro" w:hAnsi="Source Sans Pro"/>
          </w:rPr>
          <w:t>technological</w:t>
        </w:r>
      </w:hyperlink>
      <w:r w:rsidRPr="00CC185E">
        <w:rPr>
          <w:rFonts w:ascii="Source Sans Pro" w:hAnsi="Source Sans Pro"/>
        </w:rPr>
        <w:t xml:space="preserve">, </w:t>
      </w:r>
      <w:hyperlink r:id="rId43" w:history="1">
        <w:r w:rsidRPr="00CC185E">
          <w:rPr>
            <w:rStyle w:val="Hyperlink"/>
            <w:rFonts w:ascii="Source Sans Pro" w:hAnsi="Source Sans Pro"/>
          </w:rPr>
          <w:t>sensory</w:t>
        </w:r>
      </w:hyperlink>
      <w:r w:rsidRPr="00CC185E">
        <w:rPr>
          <w:rFonts w:ascii="Source Sans Pro" w:hAnsi="Source Sans Pro"/>
        </w:rPr>
        <w:t xml:space="preserve">, </w:t>
      </w:r>
      <w:hyperlink r:id="rId44" w:history="1">
        <w:r w:rsidRPr="00CC185E">
          <w:rPr>
            <w:rStyle w:val="Hyperlink"/>
            <w:rFonts w:ascii="Source Sans Pro" w:hAnsi="Source Sans Pro"/>
          </w:rPr>
          <w:t>nutritional</w:t>
        </w:r>
      </w:hyperlink>
      <w:r w:rsidRPr="00CC185E">
        <w:rPr>
          <w:rFonts w:ascii="Source Sans Pro" w:hAnsi="Source Sans Pro"/>
        </w:rPr>
        <w:t xml:space="preserve"> and </w:t>
      </w:r>
      <w:hyperlink r:id="rId45" w:history="1">
        <w:r w:rsidRPr="00CC185E">
          <w:rPr>
            <w:rStyle w:val="Hyperlink"/>
            <w:rFonts w:ascii="Source Sans Pro" w:hAnsi="Source Sans Pro"/>
          </w:rPr>
          <w:t>zootechnical</w:t>
        </w:r>
      </w:hyperlink>
      <w:r w:rsidRPr="00CC185E">
        <w:rPr>
          <w:rFonts w:ascii="Source Sans Pro" w:hAnsi="Source Sans Pro"/>
        </w:rPr>
        <w:t xml:space="preserve"> </w:t>
      </w:r>
      <w:r w:rsidRPr="00686E32">
        <w:rPr>
          <w:rFonts w:ascii="Source Sans Pro" w:hAnsi="Source Sans Pro"/>
        </w:rPr>
        <w:t>additives.</w:t>
      </w:r>
      <w:r w:rsidRPr="00CC185E">
        <w:rPr>
          <w:rFonts w:ascii="Source Sans Pro" w:hAnsi="Source Sans Pro"/>
          <w:color w:val="FF0000"/>
        </w:rPr>
        <w:t xml:space="preserve"> </w:t>
      </w:r>
      <w:r w:rsidRPr="00CC185E">
        <w:rPr>
          <w:rFonts w:ascii="Source Sans Pro" w:hAnsi="Source Sans Pro"/>
          <w:color w:val="auto"/>
        </w:rPr>
        <w:t>(2012)</w:t>
      </w:r>
    </w:p>
    <w:p w14:paraId="3C1D05D5" w14:textId="77777777" w:rsidR="00CC185E" w:rsidRPr="00CC185E" w:rsidRDefault="00CC185E" w:rsidP="00471218">
      <w:pPr>
        <w:pStyle w:val="Header"/>
        <w:keepLines/>
        <w:numPr>
          <w:ilvl w:val="0"/>
          <w:numId w:val="7"/>
        </w:numPr>
        <w:tabs>
          <w:tab w:val="clear" w:pos="4513"/>
          <w:tab w:val="clear" w:pos="9026"/>
        </w:tabs>
        <w:jc w:val="both"/>
        <w:rPr>
          <w:rFonts w:ascii="Source Sans Pro" w:hAnsi="Source Sans Pro"/>
          <w:color w:val="auto"/>
        </w:rPr>
      </w:pPr>
      <w:r w:rsidRPr="00CC185E">
        <w:rPr>
          <w:rFonts w:ascii="Source Sans Pro" w:hAnsi="Source Sans Pro"/>
          <w:color w:val="auto"/>
        </w:rPr>
        <w:t>It is important to mention that the EFSA guidance does not substitute for the obligation of an applicant to comply with the requirements of Regulation No 1831/2003.</w:t>
      </w:r>
    </w:p>
    <w:p w14:paraId="100CE00E" w14:textId="77777777" w:rsidR="00CC185E" w:rsidRPr="003749D8" w:rsidRDefault="00CC185E" w:rsidP="00471218">
      <w:pPr>
        <w:keepLines/>
        <w:jc w:val="both"/>
        <w:rPr>
          <w:rFonts w:asciiTheme="minorHAnsi" w:hAnsiTheme="minorHAnsi"/>
          <w:color w:val="auto"/>
        </w:rPr>
      </w:pPr>
    </w:p>
    <w:p w14:paraId="29B0F02B" w14:textId="77777777" w:rsidR="0072612C" w:rsidRPr="003749D8" w:rsidRDefault="0072612C" w:rsidP="00471218">
      <w:pPr>
        <w:keepLines/>
        <w:jc w:val="both"/>
        <w:rPr>
          <w:rFonts w:asciiTheme="minorHAnsi" w:hAnsiTheme="minorHAnsi"/>
          <w:color w:val="auto"/>
        </w:rPr>
      </w:pPr>
    </w:p>
    <w:p w14:paraId="66E2056A" w14:textId="77777777" w:rsidR="00667095" w:rsidRPr="003749D8" w:rsidRDefault="00667095" w:rsidP="00471218">
      <w:pPr>
        <w:pStyle w:val="FEDIAF1"/>
      </w:pPr>
      <w:bookmarkStart w:id="30" w:name="_Toc532390608"/>
      <w:r w:rsidRPr="003749D8">
        <w:t xml:space="preserve">European Register of feed </w:t>
      </w:r>
      <w:r w:rsidRPr="00686E32">
        <w:t>additives</w:t>
      </w:r>
      <w:bookmarkEnd w:id="30"/>
      <w:r w:rsidRPr="005D54C3">
        <w:rPr>
          <w:color w:val="FF0000"/>
        </w:rPr>
        <w:t xml:space="preserve"> </w:t>
      </w:r>
    </w:p>
    <w:p w14:paraId="07F68F4C" w14:textId="77777777" w:rsidR="00667095" w:rsidRPr="00CC185E" w:rsidRDefault="00667095" w:rsidP="00471218">
      <w:pPr>
        <w:keepLines/>
        <w:numPr>
          <w:ilvl w:val="0"/>
          <w:numId w:val="8"/>
        </w:numPr>
        <w:jc w:val="both"/>
        <w:rPr>
          <w:rFonts w:ascii="Source Sans Pro" w:hAnsi="Source Sans Pro"/>
          <w:color w:val="auto"/>
        </w:rPr>
      </w:pPr>
      <w:r w:rsidRPr="00CC185E">
        <w:rPr>
          <w:rFonts w:ascii="Source Sans Pro" w:hAnsi="Source Sans Pro"/>
          <w:color w:val="auto"/>
        </w:rPr>
        <w:t xml:space="preserve">Listing all feed </w:t>
      </w:r>
      <w:r w:rsidRPr="00686E32">
        <w:rPr>
          <w:rFonts w:ascii="Source Sans Pro" w:hAnsi="Source Sans Pro"/>
          <w:color w:val="auto"/>
        </w:rPr>
        <w:t xml:space="preserve">additives </w:t>
      </w:r>
      <w:r w:rsidRPr="00CC185E">
        <w:rPr>
          <w:rFonts w:ascii="Source Sans Pro" w:hAnsi="Source Sans Pro"/>
          <w:color w:val="auto"/>
        </w:rPr>
        <w:t xml:space="preserve">authorised in animal feed </w:t>
      </w:r>
    </w:p>
    <w:p w14:paraId="18E41DA5" w14:textId="77777777" w:rsidR="00667095" w:rsidRPr="00CC185E" w:rsidRDefault="00667095" w:rsidP="00471218">
      <w:pPr>
        <w:keepLines/>
        <w:numPr>
          <w:ilvl w:val="0"/>
          <w:numId w:val="8"/>
        </w:numPr>
        <w:jc w:val="both"/>
        <w:rPr>
          <w:rFonts w:ascii="Source Sans Pro" w:hAnsi="Source Sans Pro"/>
          <w:color w:val="auto"/>
        </w:rPr>
      </w:pPr>
      <w:r w:rsidRPr="00CC185E">
        <w:rPr>
          <w:rFonts w:ascii="Source Sans Pro" w:hAnsi="Source Sans Pro"/>
          <w:color w:val="auto"/>
        </w:rPr>
        <w:t xml:space="preserve">Available on-line and updated on a regular basis </w:t>
      </w:r>
    </w:p>
    <w:p w14:paraId="0251FDEA" w14:textId="77777777" w:rsidR="00667095" w:rsidRPr="00CC185E" w:rsidRDefault="007D0339" w:rsidP="00471218">
      <w:pPr>
        <w:keepLines/>
        <w:numPr>
          <w:ilvl w:val="0"/>
          <w:numId w:val="8"/>
        </w:numPr>
        <w:jc w:val="both"/>
        <w:rPr>
          <w:rFonts w:ascii="Source Sans Pro" w:hAnsi="Source Sans Pro"/>
          <w:color w:val="auto"/>
        </w:rPr>
      </w:pPr>
      <w:hyperlink r:id="rId46" w:history="1">
        <w:r w:rsidR="00667095" w:rsidRPr="00CC185E">
          <w:rPr>
            <w:rStyle w:val="Hyperlink"/>
            <w:rFonts w:ascii="Source Sans Pro" w:hAnsi="Source Sans Pro"/>
          </w:rPr>
          <w:t>http://ec.europa.eu/food/food/animalnutrition/feedadditives/registeradditives_en.htm</w:t>
        </w:r>
      </w:hyperlink>
      <w:r w:rsidR="00667095" w:rsidRPr="00CC185E">
        <w:rPr>
          <w:rFonts w:ascii="Source Sans Pro" w:hAnsi="Source Sans Pro"/>
          <w:color w:val="auto"/>
        </w:rPr>
        <w:t xml:space="preserve"> </w:t>
      </w:r>
    </w:p>
    <w:p w14:paraId="1E86AB9D" w14:textId="77777777" w:rsidR="00667095" w:rsidRDefault="00667095" w:rsidP="00471218">
      <w:pPr>
        <w:pStyle w:val="Title"/>
        <w:keepLines/>
        <w:spacing w:before="0"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2F7262F5" w14:textId="4A987C78" w:rsidR="00667095" w:rsidRPr="00CC185E" w:rsidRDefault="00667095" w:rsidP="00471218">
      <w:pPr>
        <w:keepLines/>
        <w:jc w:val="both"/>
        <w:rPr>
          <w:rFonts w:ascii="Source Sans Pro" w:hAnsi="Source Sans Pro"/>
          <w:color w:val="auto"/>
        </w:rPr>
      </w:pPr>
      <w:bookmarkStart w:id="31" w:name="_Toc469481078"/>
      <w:bookmarkStart w:id="32" w:name="_Toc469488334"/>
      <w:bookmarkStart w:id="33" w:name="_Toc469489460"/>
      <w:bookmarkStart w:id="34" w:name="_Toc469489982"/>
      <w:bookmarkStart w:id="35" w:name="_Toc469490161"/>
      <w:bookmarkStart w:id="36" w:name="_Toc469491028"/>
      <w:bookmarkStart w:id="37" w:name="_Toc469493485"/>
      <w:r w:rsidRPr="00CC185E">
        <w:rPr>
          <w:rFonts w:ascii="Source Sans Pro" w:hAnsi="Source Sans Pro"/>
          <w:color w:val="auto"/>
        </w:rPr>
        <w:t xml:space="preserve">NOTE: the current version of the register has no legal </w:t>
      </w:r>
      <w:r w:rsidR="00CC185E" w:rsidRPr="00CC185E">
        <w:rPr>
          <w:rFonts w:ascii="Source Sans Pro" w:hAnsi="Source Sans Pro"/>
          <w:color w:val="auto"/>
        </w:rPr>
        <w:t>value but</w:t>
      </w:r>
      <w:r w:rsidRPr="00CC185E">
        <w:rPr>
          <w:rFonts w:ascii="Source Sans Pro" w:hAnsi="Source Sans Pro"/>
          <w:color w:val="auto"/>
        </w:rPr>
        <w:t xml:space="preserve"> should be consulted for checking if </w:t>
      </w:r>
      <w:r w:rsidRPr="00686E32">
        <w:rPr>
          <w:rFonts w:ascii="Source Sans Pro" w:hAnsi="Source Sans Pro"/>
          <w:color w:val="auto"/>
        </w:rPr>
        <w:t xml:space="preserve">additives </w:t>
      </w:r>
      <w:r w:rsidRPr="00CC185E">
        <w:rPr>
          <w:rFonts w:ascii="Source Sans Pro" w:hAnsi="Source Sans Pro"/>
          <w:color w:val="auto"/>
        </w:rPr>
        <w:t>are approved by referring to the authorising legal act.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46E6DD5E" w14:textId="77777777" w:rsidR="00667095" w:rsidRDefault="00667095"/>
    <w:sectPr w:rsidR="00667095" w:rsidSect="00471218">
      <w:headerReference w:type="default" r:id="rId47"/>
      <w:footerReference w:type="default" r:id="rId4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FFD82" w14:textId="77777777" w:rsidR="007D0339" w:rsidRDefault="007D0339" w:rsidP="00667095">
      <w:r>
        <w:separator/>
      </w:r>
    </w:p>
  </w:endnote>
  <w:endnote w:type="continuationSeparator" w:id="0">
    <w:p w14:paraId="3E3B2830" w14:textId="77777777" w:rsidR="007D0339" w:rsidRDefault="007D0339" w:rsidP="0066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10880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2B5278B" w14:textId="37877466" w:rsidR="00DC6647" w:rsidRDefault="00DC664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8FD5C7" w14:textId="77777777" w:rsidR="00DC6647" w:rsidRDefault="00DC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C66CF" w14:textId="77777777" w:rsidR="007D0339" w:rsidRDefault="007D0339" w:rsidP="00667095">
      <w:r>
        <w:separator/>
      </w:r>
    </w:p>
  </w:footnote>
  <w:footnote w:type="continuationSeparator" w:id="0">
    <w:p w14:paraId="6F01F45F" w14:textId="77777777" w:rsidR="007D0339" w:rsidRDefault="007D0339" w:rsidP="0066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8BDCD" w14:textId="288BF2B7" w:rsidR="00DC6647" w:rsidRDefault="00DC6647" w:rsidP="004712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DBDBEE5" wp14:editId="07EF8712">
          <wp:simplePos x="0" y="0"/>
          <wp:positionH relativeFrom="column">
            <wp:posOffset>0</wp:posOffset>
          </wp:positionH>
          <wp:positionV relativeFrom="paragraph">
            <wp:posOffset>-257313</wp:posOffset>
          </wp:positionV>
          <wp:extent cx="588010" cy="593090"/>
          <wp:effectExtent l="0" t="0" r="2540" b="0"/>
          <wp:wrapSquare wrapText="bothSides"/>
          <wp:docPr id="5" name="Picture 5" descr="fedi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List of EU legislation and other rules applicable to or of relevance for pet food</w:t>
    </w:r>
  </w:p>
  <w:p w14:paraId="29FD5B44" w14:textId="29F1584F" w:rsidR="00DC6647" w:rsidRDefault="00DC6647" w:rsidP="00A67732">
    <w:pPr>
      <w:pStyle w:val="Header"/>
      <w:jc w:val="center"/>
    </w:pPr>
    <w:r>
      <w:t xml:space="preserve">(Status </w:t>
    </w:r>
    <w:r w:rsidR="0081276D">
      <w:t>26</w:t>
    </w:r>
    <w:r>
      <w:t>/</w:t>
    </w:r>
    <w:r w:rsidR="0081276D">
      <w:t>08</w:t>
    </w:r>
    <w:r>
      <w:t>/20</w:t>
    </w:r>
    <w:r w:rsidR="0081276D">
      <w:t>20</w:t>
    </w:r>
    <w: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970"/>
    <w:multiLevelType w:val="hybridMultilevel"/>
    <w:tmpl w:val="7D84D8B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34FC"/>
    <w:multiLevelType w:val="hybridMultilevel"/>
    <w:tmpl w:val="A71A2A9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B02C2"/>
    <w:multiLevelType w:val="hybridMultilevel"/>
    <w:tmpl w:val="0C7E956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75C2E"/>
    <w:multiLevelType w:val="hybridMultilevel"/>
    <w:tmpl w:val="36BACA3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256A"/>
    <w:multiLevelType w:val="hybridMultilevel"/>
    <w:tmpl w:val="34B8D01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53C89"/>
    <w:multiLevelType w:val="hybridMultilevel"/>
    <w:tmpl w:val="A48E69AA"/>
    <w:lvl w:ilvl="0" w:tplc="0A82812E">
      <w:start w:val="1"/>
      <w:numFmt w:val="decimal"/>
      <w:pStyle w:val="TOC3"/>
      <w:lvlText w:val="%1."/>
      <w:lvlJc w:val="left"/>
      <w:pPr>
        <w:ind w:left="1160" w:hanging="360"/>
      </w:pPr>
      <w:rPr>
        <w:rFonts w:hint="default"/>
        <w:b w:val="0"/>
        <w:bCs w:val="0"/>
        <w:i w:val="0"/>
        <w:caps w:val="0"/>
        <w:strike w:val="0"/>
        <w:dstrike w:val="0"/>
        <w:vanish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675D34C4"/>
    <w:multiLevelType w:val="hybridMultilevel"/>
    <w:tmpl w:val="E99EDA14"/>
    <w:lvl w:ilvl="0" w:tplc="08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30242"/>
    <w:multiLevelType w:val="hybridMultilevel"/>
    <w:tmpl w:val="80B05D5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446"/>
    <w:multiLevelType w:val="hybridMultilevel"/>
    <w:tmpl w:val="454AB2B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77"/>
    <w:rsid w:val="000A3695"/>
    <w:rsid w:val="001168B5"/>
    <w:rsid w:val="001B4493"/>
    <w:rsid w:val="001C12BC"/>
    <w:rsid w:val="00334EA9"/>
    <w:rsid w:val="00386862"/>
    <w:rsid w:val="003C7549"/>
    <w:rsid w:val="003C7D42"/>
    <w:rsid w:val="00471218"/>
    <w:rsid w:val="005109FA"/>
    <w:rsid w:val="005228DE"/>
    <w:rsid w:val="005C191A"/>
    <w:rsid w:val="005F2579"/>
    <w:rsid w:val="00622D41"/>
    <w:rsid w:val="0063760C"/>
    <w:rsid w:val="00667095"/>
    <w:rsid w:val="00677238"/>
    <w:rsid w:val="00686E32"/>
    <w:rsid w:val="0072612C"/>
    <w:rsid w:val="007A3469"/>
    <w:rsid w:val="007B7146"/>
    <w:rsid w:val="007D0339"/>
    <w:rsid w:val="007D4F7B"/>
    <w:rsid w:val="0081276D"/>
    <w:rsid w:val="00824AD9"/>
    <w:rsid w:val="008C5F5B"/>
    <w:rsid w:val="009403A3"/>
    <w:rsid w:val="009815DF"/>
    <w:rsid w:val="009A3647"/>
    <w:rsid w:val="009D034C"/>
    <w:rsid w:val="009D2532"/>
    <w:rsid w:val="00A46C04"/>
    <w:rsid w:val="00A67732"/>
    <w:rsid w:val="00A72335"/>
    <w:rsid w:val="00B338DA"/>
    <w:rsid w:val="00B70B56"/>
    <w:rsid w:val="00C24958"/>
    <w:rsid w:val="00C623F3"/>
    <w:rsid w:val="00C64F08"/>
    <w:rsid w:val="00C72629"/>
    <w:rsid w:val="00CC185E"/>
    <w:rsid w:val="00CE303C"/>
    <w:rsid w:val="00D46D3E"/>
    <w:rsid w:val="00DA1C77"/>
    <w:rsid w:val="00DA44F6"/>
    <w:rsid w:val="00DC2069"/>
    <w:rsid w:val="00DC6647"/>
    <w:rsid w:val="00E446D6"/>
    <w:rsid w:val="00F30742"/>
    <w:rsid w:val="00F649DE"/>
    <w:rsid w:val="00F92837"/>
    <w:rsid w:val="00F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056D9"/>
  <w15:chartTrackingRefBased/>
  <w15:docId w15:val="{D407180F-B01C-4BB3-B04D-E51517B2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C77"/>
    <w:pPr>
      <w:spacing w:after="0" w:line="240" w:lineRule="auto"/>
    </w:pPr>
    <w:rPr>
      <w:rFonts w:ascii="Tahoma" w:eastAsia="Times New Roman" w:hAnsi="Tahoma" w:cs="Tahoma"/>
      <w:color w:val="000000"/>
      <w:lang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9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49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9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A1C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670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7095"/>
    <w:rPr>
      <w:rFonts w:ascii="Tahoma" w:eastAsia="Times New Roman" w:hAnsi="Tahoma" w:cs="Tahoma"/>
      <w:color w:val="000000"/>
      <w:lang w:eastAsia="fr-BE"/>
    </w:rPr>
  </w:style>
  <w:style w:type="paragraph" w:styleId="Footer">
    <w:name w:val="footer"/>
    <w:basedOn w:val="Normal"/>
    <w:link w:val="FooterChar"/>
    <w:uiPriority w:val="99"/>
    <w:unhideWhenUsed/>
    <w:rsid w:val="006670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095"/>
    <w:rPr>
      <w:rFonts w:ascii="Tahoma" w:eastAsia="Times New Roman" w:hAnsi="Tahoma" w:cs="Tahoma"/>
      <w:color w:val="000000"/>
      <w:lang w:eastAsia="fr-BE"/>
    </w:rPr>
  </w:style>
  <w:style w:type="paragraph" w:styleId="Title">
    <w:name w:val="Title"/>
    <w:basedOn w:val="Normal"/>
    <w:link w:val="TitleChar"/>
    <w:uiPriority w:val="10"/>
    <w:qFormat/>
    <w:rsid w:val="00667095"/>
    <w:pPr>
      <w:spacing w:before="240" w:after="60" w:line="360" w:lineRule="auto"/>
      <w:jc w:val="center"/>
      <w:outlineLvl w:val="0"/>
    </w:pPr>
    <w:rPr>
      <w:rFonts w:ascii="Garamond" w:hAnsi="Garamond"/>
      <w:b/>
      <w:bCs/>
      <w:caps/>
      <w:color w:val="auto"/>
      <w:kern w:val="28"/>
      <w:sz w:val="96"/>
      <w:szCs w:val="9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67095"/>
    <w:rPr>
      <w:rFonts w:ascii="Garamond" w:eastAsia="Times New Roman" w:hAnsi="Garamond" w:cs="Tahoma"/>
      <w:b/>
      <w:bCs/>
      <w:caps/>
      <w:kern w:val="28"/>
      <w:sz w:val="96"/>
      <w:szCs w:val="96"/>
    </w:rPr>
  </w:style>
  <w:style w:type="paragraph" w:customStyle="1" w:styleId="FEDIAF1">
    <w:name w:val="FEDIAF 1"/>
    <w:basedOn w:val="Heading3"/>
    <w:link w:val="FEDIAF1Char"/>
    <w:qFormat/>
    <w:rsid w:val="00F649DE"/>
    <w:pPr>
      <w:jc w:val="both"/>
    </w:pPr>
    <w:rPr>
      <w:rFonts w:ascii="Source Sans Pro Semibold" w:hAnsi="Source Sans Pro Semibold"/>
      <w:color w:val="B91F2C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649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BE"/>
    </w:rPr>
  </w:style>
  <w:style w:type="character" w:customStyle="1" w:styleId="FEDIAF1Char">
    <w:name w:val="FEDIAF 1 Char"/>
    <w:basedOn w:val="DefaultParagraphFont"/>
    <w:link w:val="FEDIAF1"/>
    <w:rsid w:val="00F649DE"/>
    <w:rPr>
      <w:rFonts w:ascii="Source Sans Pro Semibold" w:eastAsiaTheme="majorEastAsia" w:hAnsi="Source Sans Pro Semibold" w:cstheme="majorBidi"/>
      <w:color w:val="B91F2C"/>
      <w:szCs w:val="24"/>
      <w:lang w:eastAsia="fr-BE"/>
    </w:rPr>
  </w:style>
  <w:style w:type="paragraph" w:styleId="TOCHeading">
    <w:name w:val="TOC Heading"/>
    <w:basedOn w:val="Heading1"/>
    <w:next w:val="Normal"/>
    <w:uiPriority w:val="39"/>
    <w:unhideWhenUsed/>
    <w:qFormat/>
    <w:rsid w:val="00F649DE"/>
    <w:pPr>
      <w:spacing w:line="259" w:lineRule="auto"/>
      <w:outlineLvl w:val="9"/>
    </w:pPr>
    <w:rPr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815DF"/>
    <w:pPr>
      <w:numPr>
        <w:numId w:val="9"/>
      </w:numPr>
      <w:tabs>
        <w:tab w:val="right" w:leader="dot" w:pos="9016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649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9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DC206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4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E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EA9"/>
    <w:rPr>
      <w:rFonts w:ascii="Tahoma" w:eastAsia="Times New Roman" w:hAnsi="Tahoma" w:cs="Tahoma"/>
      <w:color w:val="000000"/>
      <w:sz w:val="20"/>
      <w:szCs w:val="20"/>
      <w:lang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EA9"/>
    <w:rPr>
      <w:rFonts w:ascii="Tahoma" w:eastAsia="Times New Roman" w:hAnsi="Tahoma" w:cs="Tahoma"/>
      <w:b/>
      <w:bCs/>
      <w:color w:val="000000"/>
      <w:sz w:val="20"/>
      <w:szCs w:val="20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A9"/>
    <w:rPr>
      <w:rFonts w:ascii="Segoe UI" w:eastAsia="Times New Roman" w:hAnsi="Segoe UI" w:cs="Segoe UI"/>
      <w:color w:val="000000"/>
      <w:sz w:val="18"/>
      <w:szCs w:val="18"/>
      <w:lang w:eastAsia="fr-BE"/>
    </w:rPr>
  </w:style>
  <w:style w:type="paragraph" w:customStyle="1" w:styleId="norm">
    <w:name w:val="norm"/>
    <w:basedOn w:val="Normal"/>
    <w:rsid w:val="000A369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9815D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6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6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EN/TXT/?qid=1540977947290&amp;uri=CELEX:02001R0999-20180730" TargetMode="External"/><Relationship Id="rId18" Type="http://schemas.openxmlformats.org/officeDocument/2006/relationships/hyperlink" Target="https://eur-lex.europa.eu/legal-content/EN/TXT/?qid=1544541613609&amp;uri=CELEX:02003R1831-20151230" TargetMode="External"/><Relationship Id="rId26" Type="http://schemas.openxmlformats.org/officeDocument/2006/relationships/hyperlink" Target="https://eur-lex.europa.eu/legal-content/EN/TXT/?qid=1544541982119&amp;uri=CELEX:32008R0429" TargetMode="External"/><Relationship Id="rId39" Type="http://schemas.openxmlformats.org/officeDocument/2006/relationships/hyperlink" Target="https://eur-lex.europa.eu/legal-content/EN/TXT/?uri=CELEX%3A32020R0354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-lex.europa.eu/legal-content/EN/TXT/?qid=1544546265522&amp;uri=CELEX:02004R0882-20180701" TargetMode="External"/><Relationship Id="rId34" Type="http://schemas.openxmlformats.org/officeDocument/2006/relationships/hyperlink" Target="https://eur-lex.europa.eu/legal-content/EN/TXT/?qid=1598446845028&amp;uri=CELEX:02011R0010-20190829" TargetMode="External"/><Relationship Id="rId42" Type="http://schemas.openxmlformats.org/officeDocument/2006/relationships/hyperlink" Target="https://efsa.onlinelibrary.wiley.com/doi/epdf/10.2903/j.efsa.2012.2528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TXT/?qid=1540977806955&amp;uri=CELEX:02001L0082-20090807" TargetMode="External"/><Relationship Id="rId17" Type="http://schemas.openxmlformats.org/officeDocument/2006/relationships/hyperlink" Target="https://eur-lex.europa.eu/legal-content/EN/TXT/?qid=1544541562126&amp;uri=CELEX:02003R1830-20081211" TargetMode="External"/><Relationship Id="rId25" Type="http://schemas.openxmlformats.org/officeDocument/2006/relationships/hyperlink" Target="https://eur-lex.europa.eu/legal-content/EN/TXT/?qid=1544546545032&amp;uri=CELEX:02007R0834-20130701" TargetMode="External"/><Relationship Id="rId33" Type="http://schemas.openxmlformats.org/officeDocument/2006/relationships/hyperlink" Target="https://eur-lex.europa.eu/legal-content/EN/TXT/?qid=1544613278244&amp;uri=CELEX:02010L0013-20100505" TargetMode="External"/><Relationship Id="rId38" Type="http://schemas.openxmlformats.org/officeDocument/2006/relationships/hyperlink" Target="https://eur-lex.europa.eu/legal-content/EN/TXT/?qid=1544543820295&amp;uri=CELEX:32016H1319" TargetMode="External"/><Relationship Id="rId46" Type="http://schemas.openxmlformats.org/officeDocument/2006/relationships/hyperlink" Target="http://ec.europa.eu/food/food/animalnutrition/feedadditives/registeradditives_e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N/TXT/?qid=1544541505991&amp;uri=CELEX:02003R1829-20080410" TargetMode="External"/><Relationship Id="rId20" Type="http://schemas.openxmlformats.org/officeDocument/2006/relationships/hyperlink" Target="https://eur-lex.europa.eu/legal-content/EN/TXT/?qid=1544541763361&amp;uri=CELEX:02004R0852-20090420" TargetMode="External"/><Relationship Id="rId29" Type="http://schemas.openxmlformats.org/officeDocument/2006/relationships/hyperlink" Target="https://eur-lex.europa.eu/legal-content/EN/TXT/?qid=1544543976020&amp;uri=CELEX:02009R0767-20180101" TargetMode="External"/><Relationship Id="rId41" Type="http://schemas.openxmlformats.org/officeDocument/2006/relationships/hyperlink" Target="https://www.efsa.europa.eu/en/efsajournal/pub/25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qid=1540977740027&amp;uri=CELEX:02001L0018-20180329" TargetMode="External"/><Relationship Id="rId24" Type="http://schemas.openxmlformats.org/officeDocument/2006/relationships/hyperlink" Target="https://eur-lex.europa.eu/legal-content/EN/TXT/?qid=1544546398773&amp;uri=CELEX:32006L0114" TargetMode="External"/><Relationship Id="rId32" Type="http://schemas.openxmlformats.org/officeDocument/2006/relationships/hyperlink" Target="https://eur-lex.europa.eu/legal-content/EN/TXT/?qid=1544543925381&amp;uri=CELEX:02011R0142-20170802" TargetMode="External"/><Relationship Id="rId37" Type="http://schemas.openxmlformats.org/officeDocument/2006/relationships/hyperlink" Target="https://eur-lex.europa.eu/legal-content/EN/TXT/?uri=celex:32013R0576" TargetMode="External"/><Relationship Id="rId40" Type="http://schemas.openxmlformats.org/officeDocument/2006/relationships/hyperlink" Target="https://efsa.onlinelibrary.wiley.com/doi/pdf/10.2903/j.efsa.2008.779" TargetMode="External"/><Relationship Id="rId45" Type="http://schemas.openxmlformats.org/officeDocument/2006/relationships/hyperlink" Target="https://efsa.onlinelibrary.wiley.com/doi/pdf/10.2903/j.efsa.2012.25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EN/TXT/?qid=1544541457658&amp;uri=CELEX:02002L0072-20110501" TargetMode="External"/><Relationship Id="rId23" Type="http://schemas.openxmlformats.org/officeDocument/2006/relationships/hyperlink" Target="https://eur-lex.europa.eu/legal-content/EN/TXT/?qid=1544541826229&amp;uri=CELEX:02005R0183-20160423" TargetMode="External"/><Relationship Id="rId28" Type="http://schemas.openxmlformats.org/officeDocument/2006/relationships/hyperlink" Target="https://eur-lex.europa.eu/legal-content/EN/TXT/?qid=1544544006823&amp;uri=CELEX:02009R0152-20170524" TargetMode="External"/><Relationship Id="rId36" Type="http://schemas.openxmlformats.org/officeDocument/2006/relationships/hyperlink" Target="https://eur-lex.europa.eu/legal-content/EN/TXT/?qid=1544547000341&amp;uri=CELEX:02011L0083-2018070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ur-lex.europa.eu/legal-content/EN/TXT/?qid=1544614012402&amp;uri=CELEX:31998L0051" TargetMode="External"/><Relationship Id="rId19" Type="http://schemas.openxmlformats.org/officeDocument/2006/relationships/hyperlink" Target="https://eur-lex.europa.eu/legal-content/EN/TXT/?qid=1544541679602&amp;uri=CELEX:02004L0010-20090420" TargetMode="External"/><Relationship Id="rId31" Type="http://schemas.openxmlformats.org/officeDocument/2006/relationships/hyperlink" Target="https://eur-lex.europa.eu/legal-content/EN/TXT/?qid=1544543893157&amp;uri=CELEX:32009R1069" TargetMode="External"/><Relationship Id="rId44" Type="http://schemas.openxmlformats.org/officeDocument/2006/relationships/hyperlink" Target="https://efsa.onlinelibrary.wiley.com/doi/epdf/10.2903/j.efsa.2012.25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qid=1544541398300&amp;uri=CELEX:01994L0062-20180704" TargetMode="External"/><Relationship Id="rId14" Type="http://schemas.openxmlformats.org/officeDocument/2006/relationships/hyperlink" Target="https://eur-lex.europa.eu/legal-content/EN/TXT/?qid=1540978005656&amp;uri=CELEX:02002L0032-20171225" TargetMode="External"/><Relationship Id="rId22" Type="http://schemas.openxmlformats.org/officeDocument/2006/relationships/hyperlink" Target="https://eur-lex.europa.eu/legal-content/EN/TXT/?uri=CELEX:32017R0625" TargetMode="External"/><Relationship Id="rId27" Type="http://schemas.openxmlformats.org/officeDocument/2006/relationships/hyperlink" Target="https://eur-lex.europa.eu/legal-content/EN/TXT/?uri=celex:32009L0034" TargetMode="External"/><Relationship Id="rId30" Type="http://schemas.openxmlformats.org/officeDocument/2006/relationships/hyperlink" Target="https://eur-lex.europa.eu/legal-content/EN/TXT/?qid=1544547109858&amp;uri=CELEX:02013R0068-20170711" TargetMode="External"/><Relationship Id="rId35" Type="http://schemas.openxmlformats.org/officeDocument/2006/relationships/hyperlink" Target="https://eur-lex.europa.eu/LexUriServ/LexUriServ.do?uri=OJ:L:2011:011:0075:0079:EN:PDF" TargetMode="External"/><Relationship Id="rId43" Type="http://schemas.openxmlformats.org/officeDocument/2006/relationships/hyperlink" Target="https://efsa.onlinelibrary.wiley.com/doi/epdf/10.2903/j.efsa.2012.2534" TargetMode="External"/><Relationship Id="rId48" Type="http://schemas.openxmlformats.org/officeDocument/2006/relationships/footer" Target="footer1.xml"/><Relationship Id="rId8" Type="http://schemas.openxmlformats.org/officeDocument/2006/relationships/hyperlink" Target="https://eur-lex.europa.eu/legal-content/EN/TXT/?qid=1540977226354&amp;uri=CELEX:01982L0475-199807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3451-EC3E-4004-93F7-BE8FF891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Jakub Rusek</cp:lastModifiedBy>
  <cp:revision>2</cp:revision>
  <dcterms:created xsi:type="dcterms:W3CDTF">2020-09-03T09:44:00Z</dcterms:created>
  <dcterms:modified xsi:type="dcterms:W3CDTF">2020-09-03T09:44:00Z</dcterms:modified>
</cp:coreProperties>
</file>